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24" w:rsidRDefault="00DD7424" w:rsidP="00DD74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7424" w:rsidRDefault="00DD7424" w:rsidP="00DD74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7424" w:rsidRDefault="00DD7424" w:rsidP="00DD74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7424" w:rsidRDefault="00DD7424" w:rsidP="00DD74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D1E" w:rsidRDefault="00DD7424" w:rsidP="00DD7424">
      <w:pPr>
        <w:pStyle w:val="1"/>
        <w:jc w:val="center"/>
        <w:rPr>
          <w:sz w:val="44"/>
          <w:szCs w:val="44"/>
        </w:rPr>
      </w:pPr>
      <w:r w:rsidRPr="00DD7424">
        <w:rPr>
          <w:sz w:val="44"/>
          <w:szCs w:val="44"/>
        </w:rPr>
        <w:t>ОТЧЕТ ОТДЕЛА ГРАДОСТРОИТЕЛЬСТВА АДМИНИСТРАЦИИ ГОРОДСКОГО ОКРУГА «ГОРОД ГУБАХА» ПО НАПРАВЛЕНИЯМ ДЕЯТЕЛЬНОСТИ ЗА  2015 ГОД.</w:t>
      </w:r>
    </w:p>
    <w:p w:rsidR="00DD7424" w:rsidRDefault="00DD7424" w:rsidP="00DD7424"/>
    <w:p w:rsidR="00DD7424" w:rsidRDefault="00DD7424" w:rsidP="00DD7424"/>
    <w:p w:rsidR="00DD7424" w:rsidRDefault="00DD7424" w:rsidP="00DD7424"/>
    <w:p w:rsidR="00DD7424" w:rsidRDefault="00DD7424" w:rsidP="00DD7424"/>
    <w:p w:rsidR="00DD7424" w:rsidRDefault="00DD7424" w:rsidP="00DD7424"/>
    <w:p w:rsidR="00DD7424" w:rsidRDefault="00DD7424" w:rsidP="00DD7424"/>
    <w:p w:rsidR="00DD7424" w:rsidRDefault="00DD7424" w:rsidP="00DD7424"/>
    <w:p w:rsidR="00DD7424" w:rsidRDefault="00DD7424" w:rsidP="00DD7424"/>
    <w:p w:rsidR="00DD7424" w:rsidRDefault="00DD7424" w:rsidP="00DD7424"/>
    <w:p w:rsidR="00DD7424" w:rsidRDefault="00DD7424" w:rsidP="00DD7424"/>
    <w:tbl>
      <w:tblPr>
        <w:tblW w:w="14142" w:type="dxa"/>
        <w:tblInd w:w="98" w:type="dxa"/>
        <w:tblLook w:val="04A0"/>
      </w:tblPr>
      <w:tblGrid>
        <w:gridCol w:w="10"/>
        <w:gridCol w:w="690"/>
        <w:gridCol w:w="270"/>
        <w:gridCol w:w="1062"/>
        <w:gridCol w:w="1451"/>
        <w:gridCol w:w="1931"/>
        <w:gridCol w:w="1077"/>
        <w:gridCol w:w="984"/>
        <w:gridCol w:w="913"/>
        <w:gridCol w:w="976"/>
        <w:gridCol w:w="104"/>
        <w:gridCol w:w="872"/>
        <w:gridCol w:w="976"/>
        <w:gridCol w:w="703"/>
        <w:gridCol w:w="273"/>
        <w:gridCol w:w="976"/>
        <w:gridCol w:w="976"/>
      </w:tblGrid>
      <w:tr w:rsidR="00DD7424" w:rsidRPr="00DD7424" w:rsidTr="00951969">
        <w:trPr>
          <w:gridAfter w:val="3"/>
          <w:wAfter w:w="2225" w:type="dxa"/>
          <w:trHeight w:val="36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4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Территориальное планирование</w:t>
            </w:r>
          </w:p>
        </w:tc>
      </w:tr>
      <w:tr w:rsidR="00DD7424" w:rsidRPr="00DD7424" w:rsidTr="00951969">
        <w:trPr>
          <w:gridAfter w:val="3"/>
          <w:wAfter w:w="2225" w:type="dxa"/>
          <w:trHeight w:val="288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7424" w:rsidRPr="00DD7424" w:rsidTr="00951969">
        <w:trPr>
          <w:gridAfter w:val="3"/>
          <w:wAfter w:w="2225" w:type="dxa"/>
          <w:trHeight w:val="28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D742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D742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DD742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4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проектов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4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Сроки разработки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4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Утверждение проектов</w:t>
            </w:r>
          </w:p>
        </w:tc>
      </w:tr>
      <w:tr w:rsidR="00DD7424" w:rsidRPr="00DD7424" w:rsidTr="00951969">
        <w:trPr>
          <w:gridAfter w:val="3"/>
          <w:wAfter w:w="2225" w:type="dxa"/>
          <w:trHeight w:val="288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Внесение изменений в Генеральный план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октябрь2015-декабрь2015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мар.15</w:t>
            </w:r>
          </w:p>
        </w:tc>
      </w:tr>
      <w:tr w:rsidR="00DD7424" w:rsidRPr="00DD7424" w:rsidTr="00951969">
        <w:trPr>
          <w:gridAfter w:val="3"/>
          <w:wAfter w:w="2225" w:type="dxa"/>
          <w:trHeight w:val="61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внесения изменений в Правила землепользования и застройки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2015-октябрь 2015    ноябрь2015-декабрь 2015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2015                март 2016</w:t>
            </w:r>
          </w:p>
        </w:tc>
      </w:tr>
      <w:tr w:rsidR="00DD7424" w:rsidRPr="00DD7424" w:rsidTr="00951969">
        <w:trPr>
          <w:gridAfter w:val="3"/>
          <w:wAfter w:w="2225" w:type="dxa"/>
          <w:trHeight w:val="696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проектов планировки территории пос</w:t>
            </w:r>
            <w:proofErr w:type="gram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глеуральский в районе ул.Мира,34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2015-декабрь2015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2015</w:t>
            </w:r>
          </w:p>
        </w:tc>
      </w:tr>
      <w:tr w:rsidR="00DD7424" w:rsidRPr="00DD7424" w:rsidTr="00951969">
        <w:trPr>
          <w:gridAfter w:val="3"/>
          <w:wAfter w:w="2225" w:type="dxa"/>
          <w:trHeight w:val="576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межевания территории квартала в границах земельного участка 59:05:0101033:89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2015</w:t>
            </w:r>
          </w:p>
        </w:tc>
      </w:tr>
      <w:tr w:rsidR="00DD7424" w:rsidRPr="00DD7424" w:rsidTr="00951969">
        <w:trPr>
          <w:gridAfter w:val="3"/>
          <w:wAfter w:w="2225" w:type="dxa"/>
          <w:trHeight w:val="576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комплексного развития инженерной инфраструктуры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2015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2015</w:t>
            </w:r>
          </w:p>
        </w:tc>
      </w:tr>
      <w:tr w:rsidR="00DD7424" w:rsidRPr="00DD7424" w:rsidTr="00951969">
        <w:trPr>
          <w:gridAfter w:val="3"/>
          <w:wAfter w:w="2225" w:type="dxa"/>
          <w:trHeight w:val="1212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планировки и проект межевания территории в связи с планируемым строительством  "Цех </w:t>
            </w:r>
            <w:proofErr w:type="spell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</w:t>
            </w:r>
            <w:proofErr w:type="spell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Отделение ПСВ. Трубопроводы от КНС до приемочной камер</w:t>
            </w:r>
            <w:proofErr w:type="gram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дюкера)"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2015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2015</w:t>
            </w:r>
          </w:p>
        </w:tc>
      </w:tr>
      <w:tr w:rsidR="00DD7424" w:rsidRPr="00DD7424" w:rsidTr="00951969">
        <w:trPr>
          <w:gridAfter w:val="3"/>
          <w:wAfter w:w="2225" w:type="dxa"/>
          <w:trHeight w:val="1128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межевания территории в связи с техническим перевооружением объекта "Газопровод высокого давления г</w:t>
            </w:r>
            <w:proofErr w:type="gram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убаха-3 от ГРС до ГРП ГРЭС-3 в Пермском крае протяженностью 1,1 км"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424" w:rsidRPr="00DD7424" w:rsidTr="00951969">
        <w:trPr>
          <w:gridAfter w:val="3"/>
          <w:wAfter w:w="2225" w:type="dxa"/>
          <w:trHeight w:val="864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</w:t>
            </w:r>
            <w:proofErr w:type="gram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планировки</w:t>
            </w:r>
            <w:proofErr w:type="gram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совмещенный с проектом межевания территории площадью 7,8 га расположенной восточнее УХТК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424" w:rsidRPr="00DD7424" w:rsidTr="00951969">
        <w:trPr>
          <w:gridAfter w:val="3"/>
          <w:wAfter w:w="2225" w:type="dxa"/>
          <w:trHeight w:val="888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</w:t>
            </w:r>
            <w:proofErr w:type="gram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планировки</w:t>
            </w:r>
            <w:proofErr w:type="gram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совмещенный с проектом межевания территории площадью 4,2 га расположенной южнее УХТК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424" w:rsidRPr="00DD7424" w:rsidTr="00951969">
        <w:trPr>
          <w:gridAfter w:val="3"/>
          <w:wAfter w:w="2225" w:type="dxa"/>
          <w:trHeight w:val="12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планировки</w:t>
            </w:r>
            <w:r w:rsidR="0010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совмещенный с проектом межевания территории в связи с планируемым строительством объекта "</w:t>
            </w:r>
            <w:proofErr w:type="spell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Двухцепной</w:t>
            </w:r>
            <w:proofErr w:type="spell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ВКЛ-6кВ </w:t>
            </w:r>
            <w:proofErr w:type="spell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фид.№</w:t>
            </w:r>
            <w:proofErr w:type="spell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и </w:t>
            </w:r>
            <w:proofErr w:type="spell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</w:t>
            </w:r>
            <w:proofErr w:type="spell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10 от ПС "</w:t>
            </w:r>
            <w:proofErr w:type="spell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Губаха</w:t>
            </w:r>
            <w:proofErr w:type="spell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ТП-48"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424" w:rsidRPr="00DD7424" w:rsidTr="00951969">
        <w:trPr>
          <w:gridAfter w:val="3"/>
          <w:wAfter w:w="2225" w:type="dxa"/>
          <w:trHeight w:val="576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межевания территории квартала в границах земельного участка 59:05:0101017:245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24" w:rsidRPr="00DD7424" w:rsidRDefault="00DD7424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1969" w:rsidRPr="00951969" w:rsidTr="00951969">
        <w:trPr>
          <w:gridBefore w:val="1"/>
          <w:wBefore w:w="10" w:type="dxa"/>
          <w:trHeight w:val="3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Публичные слушания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114300</wp:posOffset>
                  </wp:positionV>
                  <wp:extent cx="3596640" cy="3992880"/>
                  <wp:effectExtent l="0" t="0" r="0" b="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</w:tc>
      </w:tr>
      <w:tr w:rsidR="00951969" w:rsidRPr="00951969" w:rsidTr="00951969">
        <w:trPr>
          <w:gridBefore w:val="1"/>
          <w:wBefore w:w="10" w:type="dxa"/>
          <w:trHeight w:val="2016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проектам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условно-разрешенному виду использования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 предоставлении разрешения на отклонение от предельных параметров разрешенного строительства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в месяц</w:t>
            </w:r>
          </w:p>
        </w:tc>
        <w:tc>
          <w:tcPr>
            <w:tcW w:w="585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1969" w:rsidRPr="00951969" w:rsidTr="00951969">
        <w:trPr>
          <w:gridBefore w:val="1"/>
          <w:wBefore w:w="10" w:type="dxa"/>
          <w:trHeight w:val="2412"/>
        </w:trPr>
        <w:tc>
          <w:tcPr>
            <w:tcW w:w="1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969" w:rsidRPr="00951969" w:rsidRDefault="00951969" w:rsidP="00951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2015 году увеличилось количество документов территориального планирования, в связи с этим значительно увеличилось количество публичных слушаний. В сравнении в 2014 году - 2 раза проходили публичные слушания по проектам, в 2015 году - 7 раз по проектам. По условно-разрешенному виду использования в 2014 году публичных слушаний не проходило, в 2015 году - 2 раза. Динамика увеличения </w:t>
            </w:r>
            <w:proofErr w:type="gramStart"/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связана</w:t>
            </w:r>
            <w:proofErr w:type="gramEnd"/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прежде всего с утверждением Генерального плана и Правил землепользования и застройки </w:t>
            </w:r>
            <w:proofErr w:type="spellStart"/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>Губахинского</w:t>
            </w:r>
            <w:proofErr w:type="spellEnd"/>
            <w:r w:rsidRPr="009519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округа. Увеличение количества проектов является положительной динамикой, т.к. до 2015 года не был утвержден ни один проект планировки и проект межевания, а в 2015 году утверждены проектов планировки - 2 проекта, проектов межевания - 3 проекта. Также была разработана и утверждена Программа комплексного развития инженерной инфраструктуры в соответствии с федеральным законодательством.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D7424" w:rsidRDefault="00DD7424" w:rsidP="00DD7424"/>
    <w:tbl>
      <w:tblPr>
        <w:tblW w:w="15721" w:type="dxa"/>
        <w:tblInd w:w="108" w:type="dxa"/>
        <w:tblLook w:val="04A0"/>
      </w:tblPr>
      <w:tblGrid>
        <w:gridCol w:w="1206"/>
        <w:gridCol w:w="3029"/>
        <w:gridCol w:w="1177"/>
        <w:gridCol w:w="976"/>
        <w:gridCol w:w="1055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2026920</wp:posOffset>
                  </wp:positionV>
                  <wp:extent cx="5905500" cy="2529840"/>
                  <wp:effectExtent l="0" t="0" r="0" b="0"/>
                  <wp:wrapNone/>
                  <wp:docPr id="3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3779520</wp:posOffset>
                  </wp:positionH>
                  <wp:positionV relativeFrom="paragraph">
                    <wp:posOffset>0</wp:posOffset>
                  </wp:positionV>
                  <wp:extent cx="5006340" cy="2026920"/>
                  <wp:effectExtent l="0" t="0" r="0" b="0"/>
                  <wp:wrapNone/>
                  <wp:docPr id="4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951969" w:rsidRPr="00951969">
              <w:trPr>
                <w:trHeight w:val="264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1969" w:rsidRPr="00951969" w:rsidRDefault="00951969" w:rsidP="0095196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95196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разрешения на строительство/реконструкцию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общее кв.м.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жилые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нежилые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13458,84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11716,8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1742,04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 кв.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10680,93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7950,93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 кв.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8264,48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8010,23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254,25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 кв.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13674,3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157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выданных разрешений на строительство и градостроительных  планов земельных участков, произошло в связи с проверкой ИЖС, возводимых без разрешения на строительство</w:t>
            </w:r>
            <w:r w:rsidRPr="009519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</w:tr>
      <w:tr w:rsidR="00951969" w:rsidRPr="00951969" w:rsidTr="00951969">
        <w:trPr>
          <w:trHeight w:val="264"/>
        </w:trPr>
        <w:tc>
          <w:tcPr>
            <w:tcW w:w="12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результате проверки было выявлено: 64 ИЖС построены без получения соответствующего разрешения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них: 10 обратились в отдел градостроительства за получением разрешения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6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предоставили технические паспорта на здание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11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 дел переданы в правовое управление администрации </w:t>
            </w:r>
            <w:proofErr w:type="gramStart"/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Губахи</w:t>
            </w:r>
            <w:proofErr w:type="spellEnd"/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подготовки исковых заявлений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7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10 лет было выдано 137 разрешений на строительство ИЖС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1969" w:rsidRPr="00951969" w:rsidTr="00951969">
        <w:trPr>
          <w:trHeight w:val="264"/>
        </w:trPr>
        <w:tc>
          <w:tcPr>
            <w:tcW w:w="7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19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2015 год выдано 48 разрешений на строительство ИЖС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69" w:rsidRPr="00951969" w:rsidRDefault="00951969" w:rsidP="009519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51969" w:rsidRDefault="00951969" w:rsidP="00DD7424"/>
    <w:tbl>
      <w:tblPr>
        <w:tblW w:w="14654" w:type="dxa"/>
        <w:tblInd w:w="108" w:type="dxa"/>
        <w:tblLook w:val="04A0"/>
      </w:tblPr>
      <w:tblGrid>
        <w:gridCol w:w="1161"/>
        <w:gridCol w:w="1883"/>
        <w:gridCol w:w="3380"/>
        <w:gridCol w:w="566"/>
        <w:gridCol w:w="311"/>
        <w:gridCol w:w="311"/>
        <w:gridCol w:w="311"/>
        <w:gridCol w:w="965"/>
        <w:gridCol w:w="965"/>
        <w:gridCol w:w="965"/>
        <w:gridCol w:w="965"/>
        <w:gridCol w:w="965"/>
        <w:gridCol w:w="965"/>
        <w:gridCol w:w="965"/>
      </w:tblGrid>
      <w:tr w:rsidR="00C51099" w:rsidRPr="00C51099" w:rsidTr="00C51099">
        <w:trPr>
          <w:trHeight w:val="45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Градостроительные планы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град. планов.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 кв.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 кв.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 кв.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15240</wp:posOffset>
                  </wp:positionV>
                  <wp:extent cx="8016240" cy="4152900"/>
                  <wp:effectExtent l="0" t="0" r="0" b="0"/>
                  <wp:wrapNone/>
                  <wp:docPr id="5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</w:tblGrid>
            <w:tr w:rsidR="00C51099" w:rsidRPr="00C51099">
              <w:trPr>
                <w:trHeight w:val="264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099" w:rsidRPr="00C51099" w:rsidRDefault="00C51099" w:rsidP="00C5109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1099" w:rsidRPr="00C51099" w:rsidTr="00C51099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51969" w:rsidRDefault="00951969" w:rsidP="00DD7424"/>
    <w:tbl>
      <w:tblPr>
        <w:tblW w:w="15769" w:type="dxa"/>
        <w:tblInd w:w="108" w:type="dxa"/>
        <w:tblLook w:val="04A0"/>
      </w:tblPr>
      <w:tblGrid>
        <w:gridCol w:w="596"/>
        <w:gridCol w:w="1049"/>
        <w:gridCol w:w="1992"/>
        <w:gridCol w:w="1575"/>
        <w:gridCol w:w="2361"/>
        <w:gridCol w:w="2996"/>
        <w:gridCol w:w="1176"/>
        <w:gridCol w:w="1296"/>
        <w:gridCol w:w="976"/>
        <w:gridCol w:w="976"/>
        <w:gridCol w:w="976"/>
      </w:tblGrid>
      <w:tr w:rsidR="00C51099" w:rsidRPr="00C51099" w:rsidTr="00C51099">
        <w:trPr>
          <w:trHeight w:val="31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RANGE!A1:K8"/>
            <w:bookmarkEnd w:id="0"/>
          </w:p>
        </w:tc>
        <w:tc>
          <w:tcPr>
            <w:tcW w:w="6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Перепланировка и (или) переустройство жилых помещений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3093720" cy="3139440"/>
                  <wp:effectExtent l="0" t="0" r="0" b="0"/>
                  <wp:wrapNone/>
                  <wp:docPr id="6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51099" w:rsidRPr="00C51099">
              <w:trPr>
                <w:trHeight w:val="31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099" w:rsidRPr="00C51099" w:rsidRDefault="00C51099" w:rsidP="00C510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1099" w:rsidRPr="00C51099" w:rsidTr="00C51099">
        <w:trPr>
          <w:trHeight w:val="86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Решение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Незаконная перепланировка, реконструкция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1099" w:rsidRPr="00C51099" w:rsidTr="00C51099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 </w:t>
            </w:r>
            <w:proofErr w:type="spellStart"/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1099" w:rsidRPr="00C51099" w:rsidTr="00C51099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 </w:t>
            </w:r>
            <w:proofErr w:type="spellStart"/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1099" w:rsidRPr="00C51099" w:rsidTr="00C51099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 </w:t>
            </w:r>
            <w:proofErr w:type="spellStart"/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1099" w:rsidRPr="00C51099" w:rsidTr="00C51099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 </w:t>
            </w:r>
            <w:proofErr w:type="spellStart"/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1099" w:rsidRPr="00C51099" w:rsidTr="00C51099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1099" w:rsidRPr="00C51099" w:rsidTr="00C51099">
        <w:trPr>
          <w:trHeight w:val="337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099" w:rsidRPr="00C51099" w:rsidRDefault="00C51099" w:rsidP="00C5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перепланировок и (или) переустройств жилых помещений </w:t>
            </w:r>
            <w:proofErr w:type="spellStart"/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увелилось</w:t>
            </w:r>
            <w:proofErr w:type="spellEnd"/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сравнению с 2014 годом на 11 разрешений, то соответствует 109% к 2014 году. Также возросло количество  выявленных незаконных перепланировок в многоквартирных домах, которые собственники добровольно пытаются узаконить. Увеличение произошло благодаря статье в газете "Уральский шахтер"  о требованиях </w:t>
            </w:r>
            <w:proofErr w:type="gramStart"/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жилищного</w:t>
            </w:r>
            <w:proofErr w:type="gramEnd"/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закондательства</w:t>
            </w:r>
            <w:proofErr w:type="spellEnd"/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отношении перепланировок. Также увеличение связано с количеством устанавливаемых на </w:t>
            </w:r>
            <w:proofErr w:type="spellStart"/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терриитории</w:t>
            </w:r>
            <w:proofErr w:type="spellEnd"/>
            <w:r w:rsidRPr="00C510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округа газовых котлов, в целях использования автономного отопления.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51099" w:rsidRDefault="00C51099" w:rsidP="00DD7424"/>
    <w:p w:rsidR="00C51099" w:rsidRDefault="00C51099" w:rsidP="00DD7424"/>
    <w:p w:rsidR="00C51099" w:rsidRDefault="00C51099" w:rsidP="00DD7424"/>
    <w:p w:rsidR="00C51099" w:rsidRDefault="00C51099" w:rsidP="00DD7424"/>
    <w:p w:rsidR="00C51099" w:rsidRDefault="00C51099" w:rsidP="00DD7424"/>
    <w:p w:rsidR="00C51099" w:rsidRDefault="00C51099" w:rsidP="00DD7424"/>
    <w:p w:rsidR="00C51099" w:rsidRDefault="00C51099" w:rsidP="00DD7424"/>
    <w:tbl>
      <w:tblPr>
        <w:tblW w:w="12793" w:type="dxa"/>
        <w:tblInd w:w="108" w:type="dxa"/>
        <w:tblLook w:val="04A0"/>
      </w:tblPr>
      <w:tblGrid>
        <w:gridCol w:w="596"/>
        <w:gridCol w:w="1012"/>
        <w:gridCol w:w="1443"/>
        <w:gridCol w:w="1408"/>
        <w:gridCol w:w="1062"/>
        <w:gridCol w:w="4571"/>
        <w:gridCol w:w="1062"/>
        <w:gridCol w:w="1639"/>
      </w:tblGrid>
      <w:tr w:rsidR="00D45F77" w:rsidRPr="00D45F77" w:rsidTr="00D45F77">
        <w:trPr>
          <w:trHeight w:val="63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F77" w:rsidRPr="00D45F77" w:rsidRDefault="00D45F77" w:rsidP="00D45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Ввод в эксплуатацию объектов капитального строительства (жилая площадь)</w:t>
            </w:r>
          </w:p>
        </w:tc>
      </w:tr>
      <w:tr w:rsidR="00D45F77" w:rsidRPr="00D45F77" w:rsidTr="00D45F77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ижс</w:t>
            </w:r>
            <w:proofErr w:type="spellEnd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</w:t>
            </w:r>
            <w:proofErr w:type="gram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многоквартирные дома кв</w:t>
            </w:r>
            <w:proofErr w:type="gram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кв</w:t>
            </w:r>
            <w:proofErr w:type="gram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D45F77" w:rsidRPr="00D45F77" w:rsidTr="00D45F77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D45F77" w:rsidRPr="00D45F77" w:rsidTr="00D45F77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</w:tr>
      <w:tr w:rsidR="00D45F77" w:rsidRPr="00D45F77" w:rsidTr="00D45F77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</w:tr>
      <w:tr w:rsidR="00D45F77" w:rsidRPr="00D45F77" w:rsidTr="00D45F77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45F77" w:rsidRPr="00D45F77" w:rsidTr="00D45F77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45F77" w:rsidRPr="00D45F77" w:rsidTr="00D45F77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D45F77" w:rsidRPr="00D45F77" w:rsidTr="00D45F77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</w:tr>
      <w:tr w:rsidR="00D45F77" w:rsidRPr="00D45F77" w:rsidTr="00D45F77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D45F77" w:rsidRPr="00D45F77" w:rsidTr="00D45F77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45F77" w:rsidRPr="00D45F77" w:rsidTr="00D45F77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</w:tr>
      <w:tr w:rsidR="00D45F77" w:rsidRPr="00D45F77" w:rsidTr="00D45F77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2701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3069</w:t>
            </w:r>
          </w:p>
        </w:tc>
      </w:tr>
      <w:tr w:rsidR="00D45F77" w:rsidRPr="00D45F77" w:rsidTr="00D45F77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5F77" w:rsidRPr="00D45F77" w:rsidTr="00D45F77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4170</w:t>
            </w:r>
          </w:p>
        </w:tc>
      </w:tr>
      <w:tr w:rsidR="00D45F77" w:rsidRPr="00D45F77" w:rsidTr="00D45F77">
        <w:trPr>
          <w:trHeight w:val="160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77" w:rsidRPr="00D45F77" w:rsidRDefault="00D45F77" w:rsidP="00D45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отношению к 2014 году ввод жилья увеличился на 224%, что является положительной динамикой. </w:t>
            </w:r>
            <w:proofErr w:type="gram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В 2014 году - 1861 кв.м. жилья, в 2015 году - 4170 кв.м. жилья.</w:t>
            </w:r>
            <w:proofErr w:type="gramEnd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Исполнение по </w:t>
            </w:r>
            <w:proofErr w:type="gram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показателю, установленному соглашением</w:t>
            </w:r>
            <w:proofErr w:type="gramEnd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будет составлять 23%, в 2014 году - 11%.</w:t>
            </w:r>
          </w:p>
        </w:tc>
      </w:tr>
    </w:tbl>
    <w:p w:rsidR="00C51099" w:rsidRDefault="00C51099" w:rsidP="00DD7424"/>
    <w:p w:rsidR="00D45F77" w:rsidRDefault="00D45F77" w:rsidP="00DD7424"/>
    <w:p w:rsidR="00D45F77" w:rsidRDefault="00D45F77" w:rsidP="00DD7424"/>
    <w:p w:rsidR="00D45F77" w:rsidRDefault="00D45F77" w:rsidP="00DD7424"/>
    <w:p w:rsidR="00D45F77" w:rsidRDefault="00D45F77" w:rsidP="00DD7424"/>
    <w:p w:rsidR="00D45F77" w:rsidRDefault="00D45F77" w:rsidP="00DD7424"/>
    <w:p w:rsidR="00D45F77" w:rsidRDefault="00D45F77" w:rsidP="00DD7424"/>
    <w:p w:rsidR="00D45F77" w:rsidRPr="00D45F77" w:rsidRDefault="00D45F77" w:rsidP="00D45F7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5F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Ввод в эксплуатацию   объектов капитального строительства не жилых объектов</w:t>
      </w:r>
    </w:p>
    <w:p w:rsidR="00D45F77" w:rsidRDefault="00D45F77" w:rsidP="00DD7424"/>
    <w:tbl>
      <w:tblPr>
        <w:tblpPr w:leftFromText="180" w:rightFromText="180" w:vertAnchor="page" w:horzAnchor="margin" w:tblpY="1845"/>
        <w:tblW w:w="13291" w:type="dxa"/>
        <w:tblLook w:val="04A0"/>
      </w:tblPr>
      <w:tblGrid>
        <w:gridCol w:w="530"/>
        <w:gridCol w:w="1062"/>
        <w:gridCol w:w="1978"/>
        <w:gridCol w:w="5894"/>
        <w:gridCol w:w="3827"/>
      </w:tblGrid>
      <w:tr w:rsidR="00D45F77" w:rsidRPr="00D45F77" w:rsidTr="002D7CF0">
        <w:trPr>
          <w:trHeight w:val="5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месяцы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астройщик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оказатель</w:t>
            </w:r>
          </w:p>
        </w:tc>
      </w:tr>
      <w:tr w:rsidR="00D45F77" w:rsidRPr="00D45F77" w:rsidTr="002D7CF0">
        <w:trPr>
          <w:trHeight w:val="99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Реконструкция магазина пр. Ленина, д. 52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Юркина Н. Н.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51.9 кв</w:t>
            </w:r>
            <w:proofErr w:type="gram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D45F77" w:rsidRPr="00D45F77" w:rsidTr="002D7CF0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</w:tr>
      <w:tr w:rsidR="00D45F77" w:rsidRPr="00D45F77" w:rsidTr="002D7CF0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</w:tr>
      <w:tr w:rsidR="00D45F77" w:rsidRPr="00D45F77" w:rsidTr="002D7CF0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</w:tr>
      <w:tr w:rsidR="00D45F77" w:rsidRPr="00D45F77" w:rsidTr="002D7CF0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</w:tr>
      <w:tr w:rsidR="00D45F77" w:rsidRPr="00D45F77" w:rsidTr="002D7CF0">
        <w:trPr>
          <w:trHeight w:val="5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Пристрой к зданию хлебозавода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77" w:rsidRPr="00D45F77" w:rsidRDefault="00D45F77" w:rsidP="00D45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Губахахлеб</w:t>
            </w:r>
            <w:proofErr w:type="spellEnd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80.1 кв</w:t>
            </w:r>
            <w:proofErr w:type="gram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D45F77" w:rsidRPr="00D45F77" w:rsidTr="002D7CF0">
        <w:trPr>
          <w:trHeight w:val="35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ФАП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67,73 кв</w:t>
            </w:r>
            <w:proofErr w:type="gram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D45F77" w:rsidRPr="00D45F77" w:rsidTr="002D7CF0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"-"</w:t>
            </w:r>
          </w:p>
        </w:tc>
      </w:tr>
      <w:tr w:rsidR="00D45F77" w:rsidRPr="00D45F77" w:rsidTr="002D7CF0">
        <w:trPr>
          <w:trHeight w:val="49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сентябрь                                                   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Торговый центр                                                                            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  Р.Г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4040 кв</w:t>
            </w:r>
            <w:proofErr w:type="gram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D45F77" w:rsidRPr="00D45F77" w:rsidTr="002D7CF0">
        <w:trPr>
          <w:trHeight w:val="5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КТПН  пос. Нагорнский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ОАО   КС - </w:t>
            </w:r>
            <w:proofErr w:type="spell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Прикамья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706,3 м</w:t>
            </w:r>
          </w:p>
        </w:tc>
      </w:tr>
      <w:tr w:rsidR="00D45F77" w:rsidRPr="00D45F77" w:rsidTr="002D7CF0">
        <w:trPr>
          <w:trHeight w:val="43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ВЛИ - 0,4 кВ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ОАО   КС - </w:t>
            </w:r>
            <w:proofErr w:type="spell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Прикамья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650,4 м</w:t>
            </w:r>
          </w:p>
        </w:tc>
      </w:tr>
      <w:tr w:rsidR="00D45F77" w:rsidRPr="00D45F77" w:rsidTr="002D7CF0">
        <w:trPr>
          <w:trHeight w:val="5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КТПН  ул. Советская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ОАО   КС - </w:t>
            </w:r>
            <w:proofErr w:type="spell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Прикамья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1163,6 м</w:t>
            </w:r>
          </w:p>
        </w:tc>
      </w:tr>
      <w:tr w:rsidR="00D45F77" w:rsidRPr="00D45F77" w:rsidTr="002D7CF0">
        <w:trPr>
          <w:trHeight w:val="55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школьный стадион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7476,8 кв</w:t>
            </w:r>
            <w:proofErr w:type="gram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D45F77" w:rsidRPr="00D45F77" w:rsidTr="002D7CF0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Детское кафе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ИП Сальников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262,4</w:t>
            </w:r>
          </w:p>
        </w:tc>
      </w:tr>
      <w:tr w:rsidR="00D45F77" w:rsidRPr="00D45F77" w:rsidTr="002D7CF0">
        <w:trPr>
          <w:trHeight w:val="172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Реконструкция здания заводоуправления ОАО "</w:t>
            </w:r>
            <w:proofErr w:type="spell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Метафракс</w:t>
            </w:r>
            <w:proofErr w:type="spellEnd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 с устройством мансардного этажа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F77" w:rsidRPr="00D45F77" w:rsidRDefault="00D45F77" w:rsidP="00D45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ОАО    </w:t>
            </w:r>
            <w:proofErr w:type="spell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Метафракс</w:t>
            </w:r>
            <w:proofErr w:type="spellEnd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</w:t>
            </w:r>
            <w:proofErr w:type="spellStart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Метафракс</w:t>
            </w:r>
            <w:proofErr w:type="spellEnd"/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77" w:rsidRPr="00D45F77" w:rsidRDefault="00D45F77" w:rsidP="00D45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F77">
              <w:rPr>
                <w:rFonts w:ascii="Calibri" w:eastAsia="Times New Roman" w:hAnsi="Calibri" w:cs="Times New Roman"/>
                <w:color w:val="000000"/>
                <w:lang w:eastAsia="ru-RU"/>
              </w:rPr>
              <w:t>1183,3</w:t>
            </w:r>
          </w:p>
        </w:tc>
      </w:tr>
    </w:tbl>
    <w:p w:rsidR="00D45F77" w:rsidRDefault="00D45F77" w:rsidP="00DD7424"/>
    <w:p w:rsidR="00D45F77" w:rsidRDefault="00D45F77" w:rsidP="00DD7424"/>
    <w:p w:rsidR="00D45F77" w:rsidRDefault="00D45F77" w:rsidP="00DD7424"/>
    <w:p w:rsidR="00D45F77" w:rsidRDefault="00D45F77" w:rsidP="00DD7424"/>
    <w:p w:rsidR="00D45F77" w:rsidRDefault="00D45F77" w:rsidP="00DD7424"/>
    <w:p w:rsidR="002D7CF0" w:rsidRDefault="002D7CF0" w:rsidP="00DD7424"/>
    <w:p w:rsidR="002D7CF0" w:rsidRDefault="002D7CF0" w:rsidP="00DD7424"/>
    <w:p w:rsidR="002D7CF0" w:rsidRDefault="002D7CF0" w:rsidP="00DD7424"/>
    <w:p w:rsidR="002D7CF0" w:rsidRDefault="002D7CF0" w:rsidP="00DD7424"/>
    <w:p w:rsidR="002D7CF0" w:rsidRDefault="002D7CF0" w:rsidP="00DD7424"/>
    <w:p w:rsidR="002D7CF0" w:rsidRDefault="002D7CF0" w:rsidP="00DD7424"/>
    <w:p w:rsidR="002D7CF0" w:rsidRDefault="002D7CF0" w:rsidP="00DD7424"/>
    <w:p w:rsidR="002D7CF0" w:rsidRDefault="002D7CF0" w:rsidP="00DD7424"/>
    <w:p w:rsidR="002D7CF0" w:rsidRDefault="002D7CF0" w:rsidP="00DD7424"/>
    <w:p w:rsidR="002D7CF0" w:rsidRDefault="002D7CF0" w:rsidP="00DD7424"/>
    <w:p w:rsidR="002D7CF0" w:rsidRDefault="002D7CF0" w:rsidP="00DD7424"/>
    <w:p w:rsidR="002D7CF0" w:rsidRDefault="002D7CF0" w:rsidP="00DD7424"/>
    <w:p w:rsidR="002D7CF0" w:rsidRDefault="002D7CF0" w:rsidP="00DD7424"/>
    <w:tbl>
      <w:tblPr>
        <w:tblW w:w="11860" w:type="dxa"/>
        <w:tblInd w:w="108" w:type="dxa"/>
        <w:tblLook w:val="04A0"/>
      </w:tblPr>
      <w:tblGrid>
        <w:gridCol w:w="6065"/>
        <w:gridCol w:w="4553"/>
        <w:gridCol w:w="222"/>
        <w:gridCol w:w="222"/>
        <w:gridCol w:w="222"/>
        <w:gridCol w:w="222"/>
        <w:gridCol w:w="222"/>
        <w:gridCol w:w="222"/>
        <w:gridCol w:w="222"/>
        <w:gridCol w:w="222"/>
        <w:gridCol w:w="976"/>
      </w:tblGrid>
      <w:tr w:rsidR="002D7CF0" w:rsidRPr="002D7CF0" w:rsidTr="002D7CF0">
        <w:trPr>
          <w:trHeight w:val="348"/>
        </w:trPr>
        <w:tc>
          <w:tcPr>
            <w:tcW w:w="10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Выданные разрешения на производство земляных работ 2015гг.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129540</wp:posOffset>
                  </wp:positionV>
                  <wp:extent cx="7559040" cy="4411980"/>
                  <wp:effectExtent l="0" t="0" r="0" b="0"/>
                  <wp:wrapNone/>
                  <wp:docPr id="7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2D7CF0" w:rsidRPr="002D7CF0">
              <w:trPr>
                <w:trHeight w:val="264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375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312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312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312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312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312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264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CF0" w:rsidRPr="002D7CF0" w:rsidTr="002D7CF0">
        <w:trPr>
          <w:trHeight w:val="1110"/>
        </w:trPr>
        <w:tc>
          <w:tcPr>
            <w:tcW w:w="10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В 2015г. было выдано 106 разрешений на производство земляных работ из них: принято благоустройство по 69 разрешениям и по 33 разрешениям срок - 2 квартал 2016г</w:t>
            </w:r>
            <w:proofErr w:type="gramStart"/>
            <w:r w:rsidRPr="002D7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2D7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прошедший период 2014-2015гг. остались не приняты  земляные работы по 11 разрешениям в связи с погодными условиями, так же было выдано 36 предписаний об </w:t>
            </w:r>
            <w:proofErr w:type="spellStart"/>
            <w:r w:rsidRPr="002D7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устраниении</w:t>
            </w:r>
            <w:proofErr w:type="spellEnd"/>
            <w:r w:rsidRPr="002D7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7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нарашений</w:t>
            </w:r>
            <w:proofErr w:type="spellEnd"/>
            <w:r w:rsidRPr="002D7C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 производства земляных работ.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D7CF0" w:rsidRDefault="002D7CF0" w:rsidP="00DD7424"/>
    <w:p w:rsidR="002D7CF0" w:rsidRDefault="002D7CF0" w:rsidP="00DD7424"/>
    <w:tbl>
      <w:tblPr>
        <w:tblW w:w="12657" w:type="dxa"/>
        <w:tblInd w:w="108" w:type="dxa"/>
        <w:tblLook w:val="04A0"/>
      </w:tblPr>
      <w:tblGrid>
        <w:gridCol w:w="2864"/>
        <w:gridCol w:w="2201"/>
        <w:gridCol w:w="2685"/>
        <w:gridCol w:w="1362"/>
        <w:gridCol w:w="222"/>
        <w:gridCol w:w="2284"/>
        <w:gridCol w:w="1197"/>
        <w:gridCol w:w="222"/>
        <w:gridCol w:w="222"/>
        <w:gridCol w:w="222"/>
        <w:gridCol w:w="222"/>
      </w:tblGrid>
      <w:tr w:rsidR="002D7CF0" w:rsidRPr="002D7CF0" w:rsidTr="002D7CF0">
        <w:trPr>
          <w:trHeight w:val="270"/>
        </w:trPr>
        <w:tc>
          <w:tcPr>
            <w:tcW w:w="12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Доходы бюджета от установки и эксплуатации рекламных конструкций 2013-2015гг.</w:t>
            </w: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Договора тыс</w:t>
            </w:r>
            <w:proofErr w:type="gramStart"/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Госпошлина тыс</w:t>
            </w:r>
            <w:proofErr w:type="gramStart"/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237,23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278,23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667,96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804,96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7566660" cy="3147060"/>
                  <wp:effectExtent l="0" t="0" r="0" b="0"/>
                  <wp:wrapNone/>
                  <wp:docPr id="8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0"/>
            </w:tblGrid>
            <w:tr w:rsidR="002D7CF0" w:rsidRPr="002D7CF0">
              <w:trPr>
                <w:trHeight w:val="27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243,9272727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289,3145958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2D7CF0">
        <w:trPr>
          <w:trHeight w:val="1290"/>
        </w:trPr>
        <w:tc>
          <w:tcPr>
            <w:tcW w:w="12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доходов от рекламы составил по отношению к 2014г.244%, к 2013г.290%. Увеличение произошло за счет большего количества </w:t>
            </w:r>
            <w:proofErr w:type="spellStart"/>
            <w:r w:rsidRPr="002D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проведеных</w:t>
            </w:r>
            <w:proofErr w:type="spellEnd"/>
            <w:r w:rsidRPr="002D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аукционов в 2015г. в сравнении с 2013-2014г. В среднем объем поступлений изменяется на 470% в год, динамика положительная. В 2016г. планируются поступления от договоров на установку и эксплуатацию рекламных конструкций в размере 730 тыс</w:t>
            </w:r>
            <w:proofErr w:type="gramStart"/>
            <w:r w:rsidRPr="002D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 и госпошлина в сумме 80 тыс.руб.</w:t>
            </w:r>
          </w:p>
        </w:tc>
      </w:tr>
    </w:tbl>
    <w:p w:rsidR="002D7CF0" w:rsidRDefault="002D7CF0" w:rsidP="00DD7424"/>
    <w:p w:rsidR="002D7CF0" w:rsidRDefault="002D7CF0" w:rsidP="00DD7424"/>
    <w:tbl>
      <w:tblPr>
        <w:tblW w:w="14678" w:type="dxa"/>
        <w:tblInd w:w="108" w:type="dxa"/>
        <w:tblLook w:val="04A0"/>
      </w:tblPr>
      <w:tblGrid>
        <w:gridCol w:w="9670"/>
        <w:gridCol w:w="2655"/>
        <w:gridCol w:w="371"/>
        <w:gridCol w:w="321"/>
        <w:gridCol w:w="246"/>
        <w:gridCol w:w="220"/>
        <w:gridCol w:w="220"/>
        <w:gridCol w:w="220"/>
        <w:gridCol w:w="220"/>
        <w:gridCol w:w="220"/>
        <w:gridCol w:w="315"/>
      </w:tblGrid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7429500" cy="2651760"/>
                  <wp:effectExtent l="0" t="0" r="0" b="0"/>
                  <wp:wrapNone/>
                  <wp:docPr id="9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0"/>
            </w:tblGrid>
            <w:tr w:rsidR="002D7CF0" w:rsidRPr="002D7CF0">
              <w:trPr>
                <w:trHeight w:val="27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7CF0" w:rsidRPr="002D7CF0" w:rsidRDefault="002D7CF0" w:rsidP="002D7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2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5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315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104" w:type="dxa"/>
              <w:tblLook w:val="04A0"/>
            </w:tblPr>
            <w:tblGrid>
              <w:gridCol w:w="1196"/>
              <w:gridCol w:w="1544"/>
              <w:gridCol w:w="1190"/>
              <w:gridCol w:w="876"/>
              <w:gridCol w:w="292"/>
              <w:gridCol w:w="2006"/>
            </w:tblGrid>
            <w:tr w:rsidR="00CC4D94" w:rsidRPr="00CC4D94" w:rsidTr="00E16D75">
              <w:trPr>
                <w:trHeight w:val="524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госпошлина тыс</w:t>
                  </w:r>
                  <w:proofErr w:type="gramStart"/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уб.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договора тыс</w:t>
                  </w:r>
                  <w:proofErr w:type="gramStart"/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уб.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4D94" w:rsidRPr="00CC4D94" w:rsidRDefault="00E16D75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5" style="position:absolute;margin-left:81.6pt;margin-top:3.1pt;width:312.65pt;height:218.45pt;z-index:251674624;mso-position-horizontal-relative:text;mso-position-vertical-relative:text" strokecolor="white [3212]">
                        <v:textbox>
                          <w:txbxContent>
                            <w:p w:rsidR="00E16D75" w:rsidRDefault="00E16D75">
                              <w:r w:rsidRPr="00E16D75">
                                <w:t xml:space="preserve">  В 2015г. было выдано 26 разрешений на установку и эксплуатацию рекламных конструкций. Проведено три аукциона на право заключения договора на установку и эксплуатацию рекламных конструкций, по итогам которых заключено 18 договоров.</w:t>
                              </w:r>
                            </w:p>
                            <w:p w:rsidR="00E16D75" w:rsidRDefault="00E16D75">
                              <w:r w:rsidRPr="00E16D75">
                                <w:t xml:space="preserve">Так же отделом градостроительства ведется </w:t>
                              </w:r>
                              <w:proofErr w:type="spellStart"/>
                              <w:r w:rsidRPr="00E16D75">
                                <w:t>претензионно-исковая</w:t>
                              </w:r>
                              <w:proofErr w:type="spellEnd"/>
                              <w:r w:rsidRPr="00E16D75">
                                <w:t xml:space="preserve"> работа по незаконно (самовольно) установленным рекламным конструкциям. В  отчетный период 2015г.,  было выдано  62 </w:t>
                              </w:r>
                              <w:proofErr w:type="gramStart"/>
                              <w:r w:rsidRPr="00E16D75">
                                <w:t>предписания</w:t>
                              </w:r>
                              <w:proofErr w:type="gramEnd"/>
                              <w:r w:rsidRPr="00E16D75">
                                <w:t xml:space="preserve"> из которых 36 получено, подано 17 исковых заявления из них по трем вынесено положительное решение. Демонтировано 16 рекламных конструкций, выдано 3 разрешения на установку и эксплуатацию рекламных конструкций.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  <w:tr w:rsidR="00CC4D94" w:rsidRPr="00CC4D94" w:rsidTr="00E16D75">
              <w:trPr>
                <w:trHeight w:val="255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D94" w:rsidRPr="00CC4D94" w:rsidTr="00E16D75">
              <w:trPr>
                <w:trHeight w:val="255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D94" w:rsidRPr="00CC4D94" w:rsidTr="00E16D75">
              <w:trPr>
                <w:trHeight w:val="255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112,2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122,2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D94" w:rsidRPr="00CC4D94" w:rsidTr="00E16D75">
              <w:trPr>
                <w:trHeight w:val="255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40,6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45,6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D94" w:rsidRPr="00CC4D94" w:rsidTr="00E16D75">
              <w:trPr>
                <w:trHeight w:val="255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D94" w:rsidRPr="00CC4D94" w:rsidTr="00E16D75">
              <w:trPr>
                <w:trHeight w:val="255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285,3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295,3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D94" w:rsidRPr="00CC4D94" w:rsidTr="00E16D75">
              <w:trPr>
                <w:trHeight w:val="255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8,9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13,9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D94" w:rsidRPr="00CC4D94" w:rsidTr="00E16D75">
              <w:trPr>
                <w:trHeight w:val="255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218,5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243,5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D94" w:rsidRPr="00CC4D94" w:rsidTr="00E16D75">
              <w:trPr>
                <w:trHeight w:val="255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D94" w:rsidRPr="00CC4D94" w:rsidTr="00E16D75">
              <w:trPr>
                <w:trHeight w:val="255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D94" w:rsidRPr="00CC4D94" w:rsidTr="00E16D75">
              <w:trPr>
                <w:trHeight w:val="255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D94" w:rsidRPr="00CC4D94" w:rsidTr="00E16D75">
              <w:trPr>
                <w:trHeight w:val="255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D94" w:rsidRPr="00CC4D94" w:rsidTr="00E16D75">
              <w:trPr>
                <w:trHeight w:val="297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667,96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C4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804,96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D94" w:rsidRPr="00CC4D94" w:rsidRDefault="00CC4D94" w:rsidP="00CC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77" w:rsidRDefault="00881477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77" w:rsidRDefault="00881477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77" w:rsidRPr="002D7CF0" w:rsidRDefault="00881477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77" w:rsidRPr="002D7CF0" w:rsidTr="00CC4D94">
        <w:trPr>
          <w:trHeight w:val="525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552" w:type="dxa"/>
              <w:tblLook w:val="04A0"/>
            </w:tblPr>
            <w:tblGrid>
              <w:gridCol w:w="3382"/>
              <w:gridCol w:w="3226"/>
              <w:gridCol w:w="220"/>
              <w:gridCol w:w="878"/>
              <w:gridCol w:w="827"/>
              <w:gridCol w:w="220"/>
              <w:gridCol w:w="701"/>
            </w:tblGrid>
            <w:tr w:rsidR="002D7CF0" w:rsidRPr="002D7CF0" w:rsidTr="002D7CF0">
              <w:trPr>
                <w:trHeight w:val="408"/>
              </w:trPr>
              <w:tc>
                <w:tcPr>
                  <w:tcW w:w="125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 присвоенных, уточненных, измененных адресов и количество предоставленных сведений из ИСОГД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квартал</w:t>
                  </w:r>
                </w:p>
              </w:tc>
              <w:tc>
                <w:tcPr>
                  <w:tcW w:w="4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E16D75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кол</w:t>
                  </w:r>
                  <w:r w:rsidR="002D7CF0"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ичество почтовых адресов</w:t>
                  </w: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квартал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ИСОГД</w:t>
                  </w: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I</w:t>
                  </w: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I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II</w:t>
                  </w: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II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III</w:t>
                  </w: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III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IV</w:t>
                  </w: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IV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228600</wp:posOffset>
                        </wp:positionH>
                        <wp:positionV relativeFrom="paragraph">
                          <wp:posOffset>106680</wp:posOffset>
                        </wp:positionV>
                        <wp:extent cx="8008620" cy="2606040"/>
                        <wp:effectExtent l="19050" t="0" r="11430" b="3810"/>
                        <wp:wrapNone/>
                        <wp:docPr id="10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0"/>
                  </w:tblGrid>
                  <w:tr w:rsidR="002D7CF0" w:rsidRPr="002D7CF0">
                    <w:trPr>
                      <w:trHeight w:val="264"/>
                      <w:tblCellSpacing w:w="0" w:type="dxa"/>
                    </w:trPr>
                    <w:tc>
                      <w:tcPr>
                        <w:tcW w:w="3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D7CF0" w:rsidRPr="002D7CF0" w:rsidRDefault="002D7CF0" w:rsidP="002D7CF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264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CF0" w:rsidRPr="002D7CF0" w:rsidTr="002D7CF0">
              <w:trPr>
                <w:trHeight w:val="1632"/>
              </w:trPr>
              <w:tc>
                <w:tcPr>
                  <w:tcW w:w="13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7CF0" w:rsidRPr="002D7CF0" w:rsidRDefault="002D7CF0" w:rsidP="002D7CF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В 2015 году была проведена инвентаризация объектов </w:t>
                  </w:r>
                  <w:proofErr w:type="spellStart"/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адрессации</w:t>
                  </w:r>
                  <w:proofErr w:type="spellEnd"/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в системе ФИАС (Федеральная </w:t>
                  </w:r>
                  <w:proofErr w:type="spellStart"/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иформационная</w:t>
                  </w:r>
                  <w:proofErr w:type="spellEnd"/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адресная система). </w:t>
                  </w:r>
                  <w:proofErr w:type="spellStart"/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Принвентаризированы</w:t>
                  </w:r>
                  <w:proofErr w:type="spellEnd"/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320 объектов (улицы, населенные пункты, дополнительные территории). В систему были занесены все дома и земельные участки, находящиеся в </w:t>
                  </w:r>
                  <w:proofErr w:type="spellStart"/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Губахинском</w:t>
                  </w:r>
                  <w:proofErr w:type="spellEnd"/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городском округе. Инвентаризация продолжалась с июня 2015года по декабрь 2015года. На сегодняшний день в систему занесены самые достоверные сведения по округу. Также было утверждено новое Положения о порядке присвоения, изменения, уточнения и аннулирования адресации объектов недвижимости на территории городского округа «Город </w:t>
                  </w:r>
                  <w:proofErr w:type="spellStart"/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Губаха</w:t>
                  </w:r>
                  <w:proofErr w:type="spellEnd"/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», которое утвердило новый порядок присвоения </w:t>
                  </w:r>
                  <w:r w:rsidRPr="002D7CF0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lastRenderedPageBreak/>
                    <w:t>адресов.</w:t>
                  </w:r>
                </w:p>
              </w:tc>
            </w:tr>
          </w:tbl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F0" w:rsidRPr="002D7CF0" w:rsidTr="00CC4D94">
        <w:trPr>
          <w:trHeight w:val="315"/>
        </w:trPr>
        <w:tc>
          <w:tcPr>
            <w:tcW w:w="14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F0" w:rsidRPr="002D7CF0" w:rsidRDefault="002D7CF0" w:rsidP="002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D7CF0" w:rsidRPr="00DD7424" w:rsidRDefault="002D7CF0" w:rsidP="00DD7424"/>
    <w:sectPr w:rsidR="002D7CF0" w:rsidRPr="00DD7424" w:rsidSect="00DD742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424"/>
    <w:rsid w:val="00012D1E"/>
    <w:rsid w:val="001013DA"/>
    <w:rsid w:val="002D7CF0"/>
    <w:rsid w:val="007E13AA"/>
    <w:rsid w:val="00881477"/>
    <w:rsid w:val="00951969"/>
    <w:rsid w:val="00C51099"/>
    <w:rsid w:val="00CA3181"/>
    <w:rsid w:val="00CC4D94"/>
    <w:rsid w:val="00D45F77"/>
    <w:rsid w:val="00D52EF8"/>
    <w:rsid w:val="00DD7424"/>
    <w:rsid w:val="00E1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1E"/>
  </w:style>
  <w:style w:type="paragraph" w:styleId="1">
    <w:name w:val="heading 1"/>
    <w:basedOn w:val="a"/>
    <w:next w:val="a"/>
    <w:link w:val="10"/>
    <w:uiPriority w:val="9"/>
    <w:qFormat/>
    <w:rsid w:val="00DD7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5%20&#1075;&#1086;&#1076;\&#1087;&#1091;&#1073;&#1083;&#1080;&#1095;&#1085;&#1099;&#1077;%20&#1089;&#1083;&#1091;&#1096;&#1072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5%20&#1075;&#1086;&#1076;\&#1056;&#1077;&#1077;&#1089;&#1090;&#1088;%20&#1075;&#1088;.&#1087;&#1083;.%20&#1088;&#1072;&#1079;&#1088;&#1077;&#1096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5%20&#1075;&#1086;&#1076;\&#1056;&#1077;&#1077;&#1089;&#1090;&#1088;%20&#1075;&#1088;.&#1087;&#1083;.%20&#1088;&#1072;&#1079;&#1088;&#1077;&#1096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5%20&#1075;&#1086;&#1076;\&#1056;&#1077;&#1077;&#1089;&#1090;&#1088;%20&#1075;&#1088;.&#1087;&#1083;.%20&#1088;&#1072;&#1079;&#1088;&#1077;&#1096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5%20&#1075;&#1086;&#1076;\&#1075;&#1088;&#1072;&#1092;&#1080;&#1082;%20&#1086;&#1090;&#1095;&#1077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5%20&#1075;&#1086;&#1076;\&#1054;&#1090;&#1095;&#1077;&#1090;&#109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5%20&#1075;&#1086;&#1076;\&#1054;&#1090;&#1095;&#1077;&#1090;&#1099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5%20&#1075;&#1086;&#1076;\&#1054;&#1090;&#1095;&#1077;&#1090;&#1099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5%20&#1075;&#1086;&#1076;\&#1073;&#1072;&#1103;&#1085;&#1086;&#107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Лист1!$C$4</c:f>
              <c:strCache>
                <c:ptCount val="1"/>
                <c:pt idx="0">
                  <c:v>По проектам</c:v>
                </c:pt>
              </c:strCache>
            </c:strRef>
          </c:tx>
          <c:cat>
            <c:strRef>
              <c:f>Лист1!$B$5:$B$17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Итого:</c:v>
                </c:pt>
              </c:strCache>
            </c:strRef>
          </c:cat>
          <c:val>
            <c:numRef>
              <c:f>Лист1!$C$5:$C$17</c:f>
              <c:numCache>
                <c:formatCode>General</c:formatCode>
                <c:ptCount val="13"/>
                <c:pt idx="7">
                  <c:v>1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По условно-разрешенному виду использования</c:v>
                </c:pt>
              </c:strCache>
            </c:strRef>
          </c:tx>
          <c:cat>
            <c:strRef>
              <c:f>Лист1!$B$5:$B$17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Итого:</c:v>
                </c:pt>
              </c:strCache>
            </c:strRef>
          </c:cat>
          <c:val>
            <c:numRef>
              <c:f>Лист1!$D$5:$D$17</c:f>
              <c:numCache>
                <c:formatCode>General</c:formatCode>
                <c:ptCount val="13"/>
                <c:pt idx="3">
                  <c:v>1</c:v>
                </c:pt>
                <c:pt idx="11">
                  <c:v>1</c:v>
                </c:pt>
                <c:pt idx="1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Лист1!$E$4</c:f>
              <c:strCache>
                <c:ptCount val="1"/>
                <c:pt idx="0">
                  <c:v>О предоставлении разрешения на отклонение от предельных параметров разрешенного строительства</c:v>
                </c:pt>
              </c:strCache>
            </c:strRef>
          </c:tx>
          <c:cat>
            <c:strRef>
              <c:f>Лист1!$B$5:$B$17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Итого:</c:v>
                </c:pt>
              </c:strCache>
            </c:strRef>
          </c:cat>
          <c:val>
            <c:numRef>
              <c:f>Лист1!$E$5:$E$17</c:f>
              <c:numCache>
                <c:formatCode>General</c:formatCode>
                <c:ptCount val="13"/>
                <c:pt idx="7">
                  <c:v>1</c:v>
                </c:pt>
                <c:pt idx="1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Лист1!$F$4</c:f>
              <c:strCache>
                <c:ptCount val="1"/>
                <c:pt idx="0">
                  <c:v>Итого в месяц</c:v>
                </c:pt>
              </c:strCache>
            </c:strRef>
          </c:tx>
          <c:cat>
            <c:strRef>
              <c:f>Лист1!$B$5:$B$17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Итого:</c:v>
                </c:pt>
              </c:strCache>
            </c:strRef>
          </c:cat>
          <c:val>
            <c:numRef>
              <c:f>Лист1!$F$5:$F$17</c:f>
              <c:numCache>
                <c:formatCode>General</c:formatCode>
                <c:ptCount val="13"/>
                <c:pt idx="3">
                  <c:v>1</c:v>
                </c:pt>
                <c:pt idx="7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10</c:v>
                </c:pt>
              </c:numCache>
            </c:numRef>
          </c:val>
        </c:ser>
        <c:axId val="130497152"/>
        <c:axId val="130486656"/>
      </c:barChart>
      <c:valAx>
        <c:axId val="130486656"/>
        <c:scaling>
          <c:orientation val="minMax"/>
        </c:scaling>
        <c:axPos val="l"/>
        <c:majorGridlines/>
        <c:numFmt formatCode="General" sourceLinked="1"/>
        <c:tickLblPos val="nextTo"/>
        <c:crossAx val="130497152"/>
        <c:crosses val="autoZero"/>
        <c:crossBetween val="between"/>
      </c:valAx>
      <c:catAx>
        <c:axId val="130497152"/>
        <c:scaling>
          <c:orientation val="minMax"/>
        </c:scaling>
        <c:axPos val="b"/>
        <c:tickLblPos val="nextTo"/>
        <c:crossAx val="130486656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Разрешения на строительство/реконструкцию</a:t>
            </a:r>
          </a:p>
        </c:rich>
      </c:tx>
      <c:layout>
        <c:manualLayout>
          <c:xMode val="edge"/>
          <c:yMode val="edge"/>
          <c:x val="0.1345408140625067"/>
          <c:y val="3.939396853838819E-2"/>
        </c:manualLayout>
      </c:layout>
      <c:spPr>
        <a:noFill/>
        <a:ln w="25400">
          <a:noFill/>
        </a:ln>
      </c:spPr>
    </c:title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78659556791391"/>
          <c:y val="0.22121228486941069"/>
          <c:w val="0.72186321391229569"/>
          <c:h val="0.61818227552547622"/>
        </c:manualLayout>
      </c:layout>
      <c:bar3DChart>
        <c:barDir val="col"/>
        <c:grouping val="clustered"/>
        <c:ser>
          <c:idx val="1"/>
          <c:order val="0"/>
          <c:tx>
            <c:strRef>
              <c:f>Лист3!$D$2</c:f>
              <c:strCache>
                <c:ptCount val="1"/>
                <c:pt idx="0">
                  <c:v>жилые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Лист3!$D$3:$D$6</c:f>
              <c:numCache>
                <c:formatCode>General</c:formatCode>
                <c:ptCount val="4"/>
                <c:pt idx="0">
                  <c:v>11716.8</c:v>
                </c:pt>
                <c:pt idx="1">
                  <c:v>2730</c:v>
                </c:pt>
                <c:pt idx="2">
                  <c:v>8010.23</c:v>
                </c:pt>
                <c:pt idx="3">
                  <c:v>11443</c:v>
                </c:pt>
              </c:numCache>
            </c:numRef>
          </c:val>
        </c:ser>
        <c:ser>
          <c:idx val="2"/>
          <c:order val="1"/>
          <c:tx>
            <c:strRef>
              <c:f>Лист3!$E$2</c:f>
              <c:strCache>
                <c:ptCount val="1"/>
                <c:pt idx="0">
                  <c:v>нежилые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Лист3!$E$3:$E$6</c:f>
              <c:numCache>
                <c:formatCode>General</c:formatCode>
                <c:ptCount val="4"/>
                <c:pt idx="0">
                  <c:v>1742.04</c:v>
                </c:pt>
                <c:pt idx="1">
                  <c:v>7950.9299999999994</c:v>
                </c:pt>
                <c:pt idx="2">
                  <c:v>254.25</c:v>
                </c:pt>
                <c:pt idx="3">
                  <c:v>2231.3000000000002</c:v>
                </c:pt>
              </c:numCache>
            </c:numRef>
          </c:val>
        </c:ser>
        <c:shape val="box"/>
        <c:axId val="134352896"/>
        <c:axId val="134354432"/>
        <c:axId val="0"/>
      </c:bar3DChart>
      <c:catAx>
        <c:axId val="134352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354432"/>
        <c:crosses val="autoZero"/>
        <c:auto val="1"/>
        <c:lblAlgn val="ctr"/>
        <c:lblOffset val="100"/>
        <c:tickLblSkip val="1"/>
        <c:tickMarkSkip val="1"/>
      </c:catAx>
      <c:valAx>
        <c:axId val="134354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3528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34674112380226"/>
          <c:y val="0.50000036991031127"/>
          <c:w val="0.14359644577825242"/>
          <c:h val="0.1727274005144713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выданных разрешений на строительство/реконструкцию</a:t>
            </a:r>
          </a:p>
        </c:rich>
      </c:tx>
      <c:layout>
        <c:manualLayout>
          <c:xMode val="edge"/>
          <c:yMode val="edge"/>
          <c:x val="0.20489315757929502"/>
          <c:y val="4.5454650542867354E-2"/>
        </c:manualLayout>
      </c:layout>
      <c:spPr>
        <a:noFill/>
        <a:ln w="25400">
          <a:noFill/>
        </a:ln>
      </c:spPr>
    </c:title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29053414770859"/>
          <c:y val="0.31818255380007171"/>
          <c:w val="0.72171321177184478"/>
          <c:h val="0.35227354170722208"/>
        </c:manualLayout>
      </c:layout>
      <c:bar3DChart>
        <c:barDir val="col"/>
        <c:grouping val="clustered"/>
        <c:ser>
          <c:idx val="0"/>
          <c:order val="0"/>
          <c:tx>
            <c:strRef>
              <c:f>Лист3!$B$2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Лист3!$A$3:$A$6</c:f>
              <c:strCache>
                <c:ptCount val="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</c:strCache>
            </c:strRef>
          </c:cat>
          <c:val>
            <c:numRef>
              <c:f>Лист3!$B$3:$B$6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14</c:v>
                </c:pt>
                <c:pt idx="3">
                  <c:v>24</c:v>
                </c:pt>
              </c:numCache>
            </c:numRef>
          </c:val>
        </c:ser>
        <c:shape val="box"/>
        <c:axId val="135277952"/>
        <c:axId val="133846528"/>
        <c:axId val="0"/>
      </c:bar3DChart>
      <c:catAx>
        <c:axId val="135277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квартал</a:t>
                </a:r>
              </a:p>
            </c:rich>
          </c:tx>
          <c:layout>
            <c:manualLayout>
              <c:xMode val="edge"/>
              <c:yMode val="edge"/>
              <c:x val="0.44495454369831955"/>
              <c:y val="0.7954563845001785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846528"/>
        <c:crosses val="autoZero"/>
        <c:auto val="1"/>
        <c:lblAlgn val="ctr"/>
        <c:lblOffset val="100"/>
        <c:tickLblSkip val="1"/>
        <c:tickMarkSkip val="1"/>
      </c:catAx>
      <c:valAx>
        <c:axId val="1338465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277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886925641378404"/>
          <c:y val="0.58712256951203645"/>
          <c:w val="0.17584114269864864"/>
          <c:h val="9.848507617621267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Градостроительные планы</a:t>
            </a:r>
          </a:p>
        </c:rich>
      </c:tx>
      <c:layout>
        <c:manualLayout>
          <c:xMode val="edge"/>
          <c:yMode val="edge"/>
          <c:x val="0.37142865779126183"/>
          <c:y val="4.6040598455841492E-2"/>
        </c:manualLayout>
      </c:layout>
      <c:spPr>
        <a:noFill/>
        <a:ln w="25400">
          <a:noFill/>
        </a:ln>
      </c:spPr>
    </c:title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142870429424862E-2"/>
          <c:y val="0.23020299227920746"/>
          <c:w val="0.92666688213050663"/>
          <c:h val="0.63904350656708031"/>
        </c:manualLayout>
      </c:layout>
      <c:bar3DChart>
        <c:barDir val="col"/>
        <c:grouping val="clustered"/>
        <c:ser>
          <c:idx val="0"/>
          <c:order val="0"/>
          <c:tx>
            <c:strRef>
              <c:f>Лист2!$B$3</c:f>
              <c:strCache>
                <c:ptCount val="1"/>
                <c:pt idx="0">
                  <c:v>кол-во град. планов.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Лист2!$A$4:$A$7</c:f>
              <c:strCache>
                <c:ptCount val="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</c:strCache>
            </c:strRef>
          </c:cat>
          <c:val>
            <c:numRef>
              <c:f>Лист2!$B$4:$B$7</c:f>
              <c:numCache>
                <c:formatCode>General</c:formatCode>
                <c:ptCount val="4"/>
                <c:pt idx="0">
                  <c:v>4</c:v>
                </c:pt>
                <c:pt idx="1">
                  <c:v>12</c:v>
                </c:pt>
                <c:pt idx="2">
                  <c:v>16</c:v>
                </c:pt>
                <c:pt idx="3">
                  <c:v>24</c:v>
                </c:pt>
              </c:numCache>
            </c:numRef>
          </c:val>
        </c:ser>
        <c:dLbls>
          <c:showVal val="1"/>
        </c:dLbls>
        <c:shape val="box"/>
        <c:axId val="133875584"/>
        <c:axId val="133877120"/>
        <c:axId val="0"/>
      </c:bar3DChart>
      <c:catAx>
        <c:axId val="1338755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877120"/>
        <c:crosses val="autoZero"/>
        <c:auto val="1"/>
        <c:lblAlgn val="ctr"/>
        <c:lblOffset val="100"/>
        <c:tickLblSkip val="1"/>
        <c:tickMarkSkip val="1"/>
      </c:catAx>
      <c:valAx>
        <c:axId val="1338771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8755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6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440017436399768E-2"/>
          <c:y val="0.12928000827744743"/>
          <c:w val="0.47294591057962138"/>
          <c:h val="0.72459155875657777"/>
        </c:manualLayout>
      </c:layout>
      <c:bar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Решение </c:v>
                </c:pt>
              </c:strCache>
            </c:strRef>
          </c:tx>
          <c:cat>
            <c:strRef>
              <c:f>Лист1!$B$3:$B$6</c:f>
              <c:strCache>
                <c:ptCount val="4"/>
                <c:pt idx="0">
                  <c:v>1  кв</c:v>
                </c:pt>
                <c:pt idx="1">
                  <c:v>2  кв</c:v>
                </c:pt>
                <c:pt idx="2">
                  <c:v>3  кв</c:v>
                </c:pt>
                <c:pt idx="3">
                  <c:v>4  кв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38</c:v>
                </c:pt>
                <c:pt idx="1">
                  <c:v>43</c:v>
                </c:pt>
                <c:pt idx="2">
                  <c:v>24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Акты</c:v>
                </c:pt>
              </c:strCache>
            </c:strRef>
          </c:tx>
          <c:cat>
            <c:strRef>
              <c:f>Лист1!$B$3:$B$6</c:f>
              <c:strCache>
                <c:ptCount val="4"/>
                <c:pt idx="0">
                  <c:v>1  кв</c:v>
                </c:pt>
                <c:pt idx="1">
                  <c:v>2  кв</c:v>
                </c:pt>
                <c:pt idx="2">
                  <c:v>3  кв</c:v>
                </c:pt>
                <c:pt idx="3">
                  <c:v>4  кв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8</c:v>
                </c:pt>
                <c:pt idx="1">
                  <c:v>30</c:v>
                </c:pt>
                <c:pt idx="2">
                  <c:v>47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Незаконная перепланировка, реконструкция</c:v>
                </c:pt>
              </c:strCache>
            </c:strRef>
          </c:tx>
          <c:cat>
            <c:strRef>
              <c:f>Лист1!$B$3:$B$6</c:f>
              <c:strCache>
                <c:ptCount val="4"/>
                <c:pt idx="0">
                  <c:v>1  кв</c:v>
                </c:pt>
                <c:pt idx="1">
                  <c:v>2  кв</c:v>
                </c:pt>
                <c:pt idx="2">
                  <c:v>3  кв</c:v>
                </c:pt>
                <c:pt idx="3">
                  <c:v>4  кв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  <c:pt idx="0">
                  <c:v>1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axId val="133884928"/>
        <c:axId val="133997312"/>
      </c:barChart>
      <c:catAx>
        <c:axId val="133884928"/>
        <c:scaling>
          <c:orientation val="minMax"/>
        </c:scaling>
        <c:axPos val="b"/>
        <c:tickLblPos val="nextTo"/>
        <c:crossAx val="133997312"/>
        <c:crosses val="autoZero"/>
        <c:auto val="1"/>
        <c:lblAlgn val="ctr"/>
        <c:lblOffset val="100"/>
      </c:catAx>
      <c:valAx>
        <c:axId val="133997312"/>
        <c:scaling>
          <c:orientation val="minMax"/>
        </c:scaling>
        <c:axPos val="l"/>
        <c:majorGridlines/>
        <c:numFmt formatCode="General" sourceLinked="1"/>
        <c:tickLblPos val="nextTo"/>
        <c:crossAx val="13388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137254901960749"/>
          <c:y val="8.3524360779406573E-2"/>
          <c:w val="0.34486071085494818"/>
          <c:h val="0.80092398402806286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Колличество выданных разрешений на земляные работы по кварталам 2015г.</a:t>
            </a:r>
          </a:p>
        </c:rich>
      </c:tx>
      <c:layout>
        <c:manualLayout>
          <c:xMode val="edge"/>
          <c:yMode val="edge"/>
          <c:x val="0.13118062563067598"/>
          <c:y val="3.119584055459273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4.2381453778071877E-2"/>
          <c:y val="0.2183709300807759"/>
          <c:w val="0.88193787147701952"/>
          <c:h val="0.6984403557345451"/>
        </c:manualLayout>
      </c:layout>
      <c:barChart>
        <c:barDir val="col"/>
        <c:grouping val="clustered"/>
        <c:ser>
          <c:idx val="0"/>
          <c:order val="0"/>
          <c:tx>
            <c:strRef>
              <c:f>ЗР!$C$4</c:f>
              <c:strCache>
                <c:ptCount val="1"/>
                <c:pt idx="0">
                  <c:v>2015г.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cat>
            <c:strRef>
              <c:f>ЗР!$B$5:$B$8</c:f>
              <c:strCache>
                <c:ptCount val="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</c:strCache>
            </c:strRef>
          </c:cat>
          <c:val>
            <c:numRef>
              <c:f>ЗР!$C$5:$C$8</c:f>
              <c:numCache>
                <c:formatCode>0</c:formatCode>
                <c:ptCount val="4"/>
                <c:pt idx="0">
                  <c:v>10</c:v>
                </c:pt>
                <c:pt idx="1">
                  <c:v>40</c:v>
                </c:pt>
                <c:pt idx="2">
                  <c:v>39</c:v>
                </c:pt>
                <c:pt idx="3">
                  <c:v>16</c:v>
                </c:pt>
              </c:numCache>
            </c:numRef>
          </c:val>
        </c:ser>
        <c:axId val="134362240"/>
        <c:axId val="134363776"/>
      </c:barChart>
      <c:catAx>
        <c:axId val="134362240"/>
        <c:scaling>
          <c:orientation val="minMax"/>
        </c:scaling>
        <c:axPos val="b"/>
        <c:numFmt formatCode="dd/mm/yyyy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363776"/>
        <c:crosses val="autoZero"/>
        <c:auto val="1"/>
        <c:lblAlgn val="ctr"/>
        <c:lblOffset val="100"/>
        <c:tickLblSkip val="1"/>
        <c:tickMarkSkip val="1"/>
      </c:catAx>
      <c:valAx>
        <c:axId val="1343637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3622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743732966779758"/>
          <c:y val="0.54939364165267912"/>
          <c:w val="5.2472250252270432E-2"/>
          <c:h val="3.812824956672445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Поступления в бюджет от установки и эксплуатации рекламных конструкций 2013-2015гг.</a:t>
            </a:r>
          </a:p>
        </c:rich>
      </c:tx>
      <c:layout>
        <c:manualLayout>
          <c:xMode val="edge"/>
          <c:yMode val="edge"/>
          <c:x val="0.14012110003386669"/>
          <c:y val="3.640776699029127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5524241926802562E-2"/>
          <c:y val="0.17718451851691638"/>
          <c:w val="0.91532325645441115"/>
          <c:h val="0.59466037036499331"/>
        </c:manualLayout>
      </c:layout>
      <c:barChart>
        <c:barDir val="col"/>
        <c:grouping val="clustered"/>
        <c:ser>
          <c:idx val="0"/>
          <c:order val="0"/>
          <c:tx>
            <c:strRef>
              <c:f>РК!$C$38</c:f>
              <c:strCache>
                <c:ptCount val="1"/>
                <c:pt idx="0">
                  <c:v>Договора тыс.руб.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cat>
            <c:strRef>
              <c:f>РК!$B$39:$B$41</c:f>
              <c:strCache>
                <c:ptCount val="3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</c:strCache>
            </c:strRef>
          </c:cat>
          <c:val>
            <c:numRef>
              <c:f>РК!$C$39:$C$41</c:f>
              <c:numCache>
                <c:formatCode>#,##0.00</c:formatCode>
                <c:ptCount val="3"/>
                <c:pt idx="0">
                  <c:v>237.23</c:v>
                </c:pt>
                <c:pt idx="1">
                  <c:v>294</c:v>
                </c:pt>
                <c:pt idx="2">
                  <c:v>667.95999999999992</c:v>
                </c:pt>
              </c:numCache>
            </c:numRef>
          </c:val>
        </c:ser>
        <c:ser>
          <c:idx val="1"/>
          <c:order val="1"/>
          <c:tx>
            <c:strRef>
              <c:f>РК!$D$38</c:f>
              <c:strCache>
                <c:ptCount val="1"/>
                <c:pt idx="0">
                  <c:v>Госпошлина тыс.руб.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cat>
            <c:strRef>
              <c:f>РК!$B$39:$B$41</c:f>
              <c:strCache>
                <c:ptCount val="3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</c:strCache>
            </c:strRef>
          </c:cat>
          <c:val>
            <c:numRef>
              <c:f>РК!$D$39:$D$41</c:f>
              <c:numCache>
                <c:formatCode>0.00</c:formatCode>
                <c:ptCount val="3"/>
                <c:pt idx="0">
                  <c:v>41</c:v>
                </c:pt>
                <c:pt idx="1">
                  <c:v>36</c:v>
                </c:pt>
                <c:pt idx="2">
                  <c:v>137</c:v>
                </c:pt>
              </c:numCache>
            </c:numRef>
          </c:val>
        </c:ser>
        <c:axId val="134372352"/>
        <c:axId val="135049984"/>
      </c:barChart>
      <c:catAx>
        <c:axId val="134372352"/>
        <c:scaling>
          <c:orientation val="minMax"/>
        </c:scaling>
        <c:axPos val="b"/>
        <c:numFmt formatCode="dd/mm/yyyy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049984"/>
        <c:crosses val="autoZero"/>
        <c:auto val="1"/>
        <c:lblAlgn val="ctr"/>
        <c:lblOffset val="100"/>
        <c:tickLblSkip val="1"/>
        <c:tickMarkSkip val="1"/>
      </c:catAx>
      <c:valAx>
        <c:axId val="1350499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372352"/>
        <c:crosses val="autoZero"/>
        <c:crossBetween val="between"/>
      </c:valAx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8004058716450789"/>
          <c:y val="0.88349546415921321"/>
          <c:w val="0.2661291645499958"/>
          <c:h val="5.825242718446599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Доходы от выдачи разрешения на установку и эксплуатацию рекламных конструкций в 2015г.</a:t>
            </a:r>
          </a:p>
        </c:rich>
      </c:tx>
      <c:layout>
        <c:manualLayout>
          <c:xMode val="edge"/>
          <c:yMode val="edge"/>
          <c:x val="0.16255171035719301"/>
          <c:y val="2.601156069364161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6419872471511519E-2"/>
          <c:y val="0.28034721644014243"/>
          <c:w val="0.85699706867582304"/>
          <c:h val="0.43352662336104519"/>
        </c:manualLayout>
      </c:layout>
      <c:lineChart>
        <c:grouping val="standard"/>
        <c:ser>
          <c:idx val="0"/>
          <c:order val="0"/>
          <c:tx>
            <c:strRef>
              <c:f>РК!$C$80</c:f>
              <c:strCache>
                <c:ptCount val="1"/>
                <c:pt idx="0">
                  <c:v>госпошлина тыс.руб.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РК!$B$81:$B$92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РК!$C$81:$C$92</c:f>
              <c:numCache>
                <c:formatCode>0.0</c:formatCode>
                <c:ptCount val="12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5</c:v>
                </c:pt>
                <c:pt idx="4">
                  <c:v>15</c:v>
                </c:pt>
                <c:pt idx="5">
                  <c:v>10</c:v>
                </c:pt>
                <c:pt idx="6">
                  <c:v>5</c:v>
                </c:pt>
                <c:pt idx="7">
                  <c:v>25</c:v>
                </c:pt>
                <c:pt idx="8">
                  <c:v>40</c:v>
                </c:pt>
                <c:pt idx="9">
                  <c:v>5</c:v>
                </c:pt>
                <c:pt idx="10">
                  <c:v>15</c:v>
                </c:pt>
                <c:pt idx="11">
                  <c:v>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РК!$D$80</c:f>
              <c:strCache>
                <c:ptCount val="1"/>
                <c:pt idx="0">
                  <c:v>договора тыс.руб.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РК!$B$81:$B$92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РК!$D$81:$D$92</c:f>
              <c:numCache>
                <c:formatCode>0.0</c:formatCode>
                <c:ptCount val="12"/>
                <c:pt idx="0">
                  <c:v>2.4242600000000003</c:v>
                </c:pt>
                <c:pt idx="1">
                  <c:v>0</c:v>
                </c:pt>
                <c:pt idx="2">
                  <c:v>112.15260000000001</c:v>
                </c:pt>
                <c:pt idx="3">
                  <c:v>40.649000000000001</c:v>
                </c:pt>
                <c:pt idx="4">
                  <c:v>0</c:v>
                </c:pt>
                <c:pt idx="5">
                  <c:v>285.29849999999993</c:v>
                </c:pt>
                <c:pt idx="6">
                  <c:v>8.8840200000000014</c:v>
                </c:pt>
                <c:pt idx="7">
                  <c:v>218.54934000000003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1"/>
        </c:ser>
        <c:marker val="1"/>
        <c:axId val="135406720"/>
        <c:axId val="135408256"/>
      </c:lineChart>
      <c:catAx>
        <c:axId val="13540672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5408256"/>
        <c:crosses val="autoZero"/>
        <c:lblAlgn val="ctr"/>
        <c:lblOffset val="100"/>
        <c:tickLblSkip val="1"/>
        <c:tickMarkSkip val="1"/>
      </c:catAx>
      <c:valAx>
        <c:axId val="135408256"/>
        <c:scaling>
          <c:orientation val="minMax"/>
        </c:scaling>
        <c:axPos val="l"/>
        <c:numFmt formatCode="0.0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540672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0246954084443156"/>
          <c:y val="0.89017454826817188"/>
          <c:w val="0.41358078696953027"/>
          <c:h val="8.092485549132953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3306362264774102"/>
          <c:y val="3.3210205341979326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20815986513265E-2"/>
          <c:y val="0.18450209434201095"/>
          <c:w val="0.64046306042853363"/>
          <c:h val="0.6586724768009791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колличество почтовых адресов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Лист1!$A$4:$A$7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20</c:v>
                </c:pt>
                <c:pt idx="1">
                  <c:v>9</c:v>
                </c:pt>
                <c:pt idx="2">
                  <c:v>16</c:v>
                </c:pt>
                <c:pt idx="3">
                  <c:v>15</c:v>
                </c:pt>
              </c:numCache>
            </c:numRef>
          </c:val>
        </c:ser>
        <c:shape val="box"/>
        <c:axId val="135625344"/>
        <c:axId val="135635712"/>
        <c:axId val="0"/>
      </c:bar3DChart>
      <c:catAx>
        <c:axId val="135625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Квартал</a:t>
                </a:r>
              </a:p>
            </c:rich>
          </c:tx>
          <c:layout>
            <c:manualLayout>
              <c:xMode val="edge"/>
              <c:yMode val="edge"/>
              <c:x val="0.31791932824412217"/>
              <c:y val="0.9095954917400030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635712"/>
        <c:crosses val="autoZero"/>
        <c:auto val="1"/>
        <c:lblAlgn val="ctr"/>
        <c:lblOffset val="100"/>
        <c:tickLblSkip val="1"/>
        <c:tickMarkSkip val="1"/>
      </c:catAx>
      <c:valAx>
        <c:axId val="1356357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625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560766534307174"/>
          <c:y val="0.48708545622973615"/>
          <c:w val="0.27283264401292084"/>
          <c:h val="0.2713795643965558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7</cp:revision>
  <cp:lastPrinted>2015-12-25T06:09:00Z</cp:lastPrinted>
  <dcterms:created xsi:type="dcterms:W3CDTF">2015-12-25T06:07:00Z</dcterms:created>
  <dcterms:modified xsi:type="dcterms:W3CDTF">2015-12-25T06:51:00Z</dcterms:modified>
</cp:coreProperties>
</file>