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5D" w:rsidRPr="00CE0639" w:rsidRDefault="006E345D" w:rsidP="00CE0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ИТОГИ</w:t>
      </w:r>
      <w:r w:rsidR="00001F1A" w:rsidRPr="00CE0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45D" w:rsidRPr="00CE0639" w:rsidRDefault="00001F1A" w:rsidP="00CE0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проведения балансовой комиссии по подведению итогов финансово хозяйственной деятельности муниципальных предприятий</w:t>
      </w:r>
      <w:r w:rsidR="000A432E" w:rsidRPr="00CE0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39">
        <w:rPr>
          <w:rFonts w:ascii="Times New Roman" w:hAnsi="Times New Roman" w:cs="Times New Roman"/>
          <w:b/>
          <w:sz w:val="28"/>
          <w:szCs w:val="28"/>
        </w:rPr>
        <w:t xml:space="preserve">(учреждений) </w:t>
      </w:r>
    </w:p>
    <w:p w:rsidR="00001F1A" w:rsidRDefault="00001F1A" w:rsidP="00CE0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39">
        <w:rPr>
          <w:rFonts w:ascii="Times New Roman" w:hAnsi="Times New Roman" w:cs="Times New Roman"/>
          <w:b/>
          <w:sz w:val="28"/>
          <w:szCs w:val="28"/>
        </w:rPr>
        <w:t>за 2014 год.</w:t>
      </w:r>
    </w:p>
    <w:p w:rsidR="00CE0639" w:rsidRPr="00CE0639" w:rsidRDefault="00CE0639" w:rsidP="00CE06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1F" w:rsidRDefault="00E73526" w:rsidP="003D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27.04.2015, 29.04.2015 и 13.05.2015 были проведены балансовые комиссии по подведению итогов финансово – хозяйственной деятельности муниципальных унитарных предприятий и муниципальных бюджетных учреждений</w:t>
      </w:r>
      <w:r w:rsidR="003D631F">
        <w:rPr>
          <w:rFonts w:ascii="Times New Roman" w:hAnsi="Times New Roman" w:cs="Times New Roman"/>
          <w:sz w:val="28"/>
          <w:szCs w:val="28"/>
        </w:rPr>
        <w:t>. На комиссии были рассмотрены 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</w:t>
      </w:r>
      <w:r w:rsidR="006E34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</w:t>
      </w:r>
      <w:r w:rsidR="00F65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1FC" w:rsidRPr="006E345D" w:rsidRDefault="006E345D" w:rsidP="003D6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1FC" w:rsidRPr="006E345D">
        <w:rPr>
          <w:rFonts w:ascii="Times New Roman" w:hAnsi="Times New Roman" w:cs="Times New Roman"/>
          <w:sz w:val="28"/>
          <w:szCs w:val="28"/>
        </w:rPr>
        <w:t>Итоги финансово – хозяйственной деятельности муниципальных предприятий за 2014 год</w:t>
      </w:r>
      <w:r w:rsidR="003D631F" w:rsidRPr="006E34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34"/>
        <w:gridCol w:w="2727"/>
        <w:gridCol w:w="1640"/>
        <w:gridCol w:w="2046"/>
        <w:gridCol w:w="1665"/>
        <w:gridCol w:w="1737"/>
      </w:tblGrid>
      <w:tr w:rsidR="002B21FC" w:rsidRPr="006E345D" w:rsidTr="003D631F">
        <w:tc>
          <w:tcPr>
            <w:tcW w:w="534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E34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45D">
              <w:rPr>
                <w:rFonts w:ascii="Times New Roman" w:hAnsi="Times New Roman" w:cs="Times New Roman"/>
              </w:rPr>
              <w:t>/</w:t>
            </w:r>
            <w:proofErr w:type="spellStart"/>
            <w:r w:rsidRPr="006E34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Наименование муниципального предприятия </w:t>
            </w:r>
          </w:p>
        </w:tc>
        <w:tc>
          <w:tcPr>
            <w:tcW w:w="1640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Рассмотрение и утверждение бухгалтерской отчетности за 2014 год</w:t>
            </w:r>
          </w:p>
        </w:tc>
        <w:tc>
          <w:tcPr>
            <w:tcW w:w="2046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Оценка финансового состояния предприятия </w:t>
            </w:r>
          </w:p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Оценка эффективности использования муниципального имущества</w:t>
            </w:r>
          </w:p>
        </w:tc>
        <w:tc>
          <w:tcPr>
            <w:tcW w:w="173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Оценка эффективности управления муниципального предприятия</w:t>
            </w:r>
            <w:r w:rsidR="006E345D" w:rsidRPr="006E345D">
              <w:rPr>
                <w:rFonts w:ascii="Times New Roman" w:hAnsi="Times New Roman" w:cs="Times New Roman"/>
              </w:rPr>
              <w:t>, осуществляющего деятельность в сфере ЖКХ</w:t>
            </w:r>
          </w:p>
        </w:tc>
      </w:tr>
      <w:tr w:rsidR="002B21FC" w:rsidRPr="006E345D" w:rsidTr="003D631F">
        <w:tc>
          <w:tcPr>
            <w:tcW w:w="534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7" w:type="dxa"/>
          </w:tcPr>
          <w:p w:rsidR="002B21FC" w:rsidRPr="006E345D" w:rsidRDefault="002B21FC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6E345D">
              <w:rPr>
                <w:rFonts w:ascii="Times New Roman" w:hAnsi="Times New Roman" w:cs="Times New Roman"/>
              </w:rPr>
              <w:t>Губахинские</w:t>
            </w:r>
            <w:proofErr w:type="spellEnd"/>
            <w:r w:rsidRPr="006E345D">
              <w:rPr>
                <w:rFonts w:ascii="Times New Roman" w:hAnsi="Times New Roman" w:cs="Times New Roman"/>
              </w:rPr>
              <w:t xml:space="preserve"> городские электросети»</w:t>
            </w:r>
          </w:p>
        </w:tc>
        <w:tc>
          <w:tcPr>
            <w:tcW w:w="1640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046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173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2B21FC" w:rsidRPr="006E345D" w:rsidTr="003D631F">
        <w:tc>
          <w:tcPr>
            <w:tcW w:w="534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7" w:type="dxa"/>
          </w:tcPr>
          <w:p w:rsidR="002B21FC" w:rsidRPr="006E345D" w:rsidRDefault="002B21FC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1640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046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1737" w:type="dxa"/>
          </w:tcPr>
          <w:p w:rsidR="002B21FC" w:rsidRPr="006E345D" w:rsidRDefault="002B21FC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4D51B1" w:rsidRPr="006E345D" w:rsidTr="003D631F">
        <w:tc>
          <w:tcPr>
            <w:tcW w:w="534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7" w:type="dxa"/>
          </w:tcPr>
          <w:p w:rsidR="004D51B1" w:rsidRPr="006E345D" w:rsidRDefault="004D51B1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«Городская баня»</w:t>
            </w:r>
          </w:p>
        </w:tc>
        <w:tc>
          <w:tcPr>
            <w:tcW w:w="1640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046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эффективно</w:t>
            </w:r>
          </w:p>
        </w:tc>
        <w:tc>
          <w:tcPr>
            <w:tcW w:w="1737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1B1" w:rsidRPr="006E345D" w:rsidTr="003D631F">
        <w:tc>
          <w:tcPr>
            <w:tcW w:w="534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7" w:type="dxa"/>
          </w:tcPr>
          <w:p w:rsidR="004D51B1" w:rsidRPr="006E345D" w:rsidRDefault="004D51B1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«Оптика»</w:t>
            </w:r>
          </w:p>
        </w:tc>
        <w:tc>
          <w:tcPr>
            <w:tcW w:w="1640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046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эффективно</w:t>
            </w:r>
          </w:p>
        </w:tc>
        <w:tc>
          <w:tcPr>
            <w:tcW w:w="1737" w:type="dxa"/>
          </w:tcPr>
          <w:p w:rsidR="004D51B1" w:rsidRPr="006E345D" w:rsidRDefault="004D51B1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31F" w:rsidRPr="006E345D" w:rsidTr="003D631F">
        <w:tc>
          <w:tcPr>
            <w:tcW w:w="534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7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«Уральский шахтер»</w:t>
            </w:r>
          </w:p>
        </w:tc>
        <w:tc>
          <w:tcPr>
            <w:tcW w:w="1640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046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665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  эффективно</w:t>
            </w:r>
          </w:p>
        </w:tc>
        <w:tc>
          <w:tcPr>
            <w:tcW w:w="1737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31F" w:rsidRPr="006E345D" w:rsidTr="003D631F">
        <w:tc>
          <w:tcPr>
            <w:tcW w:w="534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7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МУП «МПО ЖКХ </w:t>
            </w:r>
            <w:proofErr w:type="gramStart"/>
            <w:r w:rsidRPr="006E345D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6E34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0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046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удовлетворительно</w:t>
            </w:r>
          </w:p>
        </w:tc>
        <w:tc>
          <w:tcPr>
            <w:tcW w:w="1665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эффективно</w:t>
            </w:r>
          </w:p>
        </w:tc>
        <w:tc>
          <w:tcPr>
            <w:tcW w:w="1737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 xml:space="preserve">не эффективно </w:t>
            </w:r>
          </w:p>
        </w:tc>
      </w:tr>
      <w:tr w:rsidR="003D631F" w:rsidRPr="006E345D" w:rsidTr="003D631F">
        <w:tc>
          <w:tcPr>
            <w:tcW w:w="534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7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6E345D">
              <w:rPr>
                <w:rFonts w:ascii="Times New Roman" w:hAnsi="Times New Roman" w:cs="Times New Roman"/>
              </w:rPr>
              <w:t>Тепловодосервис</w:t>
            </w:r>
            <w:proofErr w:type="spellEnd"/>
            <w:r w:rsidRPr="006E34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0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046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удовлетворительно</w:t>
            </w:r>
          </w:p>
        </w:tc>
        <w:tc>
          <w:tcPr>
            <w:tcW w:w="1665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 эффективно</w:t>
            </w:r>
          </w:p>
        </w:tc>
        <w:tc>
          <w:tcPr>
            <w:tcW w:w="1737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345D">
              <w:rPr>
                <w:rFonts w:ascii="Times New Roman" w:hAnsi="Times New Roman" w:cs="Times New Roman"/>
              </w:rPr>
              <w:t>низко эффективно</w:t>
            </w:r>
            <w:proofErr w:type="gramEnd"/>
            <w:r w:rsidRPr="006E34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631F" w:rsidRPr="006E345D" w:rsidTr="003D631F">
        <w:tc>
          <w:tcPr>
            <w:tcW w:w="534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7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МУП «Тепловые сети Нагорнский»</w:t>
            </w:r>
          </w:p>
        </w:tc>
        <w:tc>
          <w:tcPr>
            <w:tcW w:w="1640" w:type="dxa"/>
          </w:tcPr>
          <w:p w:rsidR="003D631F" w:rsidRPr="006E345D" w:rsidRDefault="003D631F" w:rsidP="006E345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046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1665" w:type="dxa"/>
          </w:tcPr>
          <w:p w:rsidR="003D631F" w:rsidRPr="006E345D" w:rsidRDefault="003D631F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неэффективно</w:t>
            </w:r>
          </w:p>
        </w:tc>
        <w:tc>
          <w:tcPr>
            <w:tcW w:w="1737" w:type="dxa"/>
          </w:tcPr>
          <w:p w:rsidR="003D631F" w:rsidRPr="006E345D" w:rsidRDefault="00373BF4" w:rsidP="006E345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E345D">
              <w:rPr>
                <w:rFonts w:ascii="Times New Roman" w:hAnsi="Times New Roman" w:cs="Times New Roman"/>
              </w:rPr>
              <w:t>н</w:t>
            </w:r>
            <w:r w:rsidR="003D631F" w:rsidRPr="006E345D">
              <w:rPr>
                <w:rFonts w:ascii="Times New Roman" w:hAnsi="Times New Roman" w:cs="Times New Roman"/>
              </w:rPr>
              <w:t>е</w:t>
            </w:r>
            <w:r w:rsidRPr="006E345D">
              <w:rPr>
                <w:rFonts w:ascii="Times New Roman" w:hAnsi="Times New Roman" w:cs="Times New Roman"/>
              </w:rPr>
              <w:t xml:space="preserve"> </w:t>
            </w:r>
            <w:r w:rsidR="003D631F" w:rsidRPr="006E345D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2B21FC" w:rsidRDefault="006E345D" w:rsidP="009D2C6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финансовой деятельности</w:t>
      </w:r>
      <w:r w:rsidR="002B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осуществляющих деятельность в сфере ЖКХ, влияющие на оценку эффективности управления предприятием, </w:t>
      </w:r>
      <w:r w:rsidR="002B21FC">
        <w:rPr>
          <w:rFonts w:ascii="Times New Roman" w:hAnsi="Times New Roman" w:cs="Times New Roman"/>
          <w:sz w:val="28"/>
          <w:szCs w:val="28"/>
        </w:rPr>
        <w:t xml:space="preserve"> за </w:t>
      </w:r>
      <w:r w:rsidR="00E52043">
        <w:rPr>
          <w:rFonts w:ascii="Times New Roman" w:hAnsi="Times New Roman" w:cs="Times New Roman"/>
          <w:sz w:val="28"/>
          <w:szCs w:val="28"/>
        </w:rPr>
        <w:t xml:space="preserve">три </w:t>
      </w:r>
      <w:r w:rsidR="002B21FC">
        <w:rPr>
          <w:rFonts w:ascii="Times New Roman" w:hAnsi="Times New Roman" w:cs="Times New Roman"/>
          <w:sz w:val="28"/>
          <w:szCs w:val="28"/>
        </w:rPr>
        <w:t>последних отчетных периода</w:t>
      </w:r>
    </w:p>
    <w:tbl>
      <w:tblPr>
        <w:tblStyle w:val="a3"/>
        <w:tblW w:w="10419" w:type="dxa"/>
        <w:tblInd w:w="-743" w:type="dxa"/>
        <w:tblLook w:val="04A0"/>
      </w:tblPr>
      <w:tblGrid>
        <w:gridCol w:w="594"/>
        <w:gridCol w:w="3801"/>
        <w:gridCol w:w="1985"/>
        <w:gridCol w:w="1903"/>
        <w:gridCol w:w="2136"/>
      </w:tblGrid>
      <w:tr w:rsidR="004D51B1" w:rsidRPr="002B21FC" w:rsidTr="00A864C3">
        <w:tc>
          <w:tcPr>
            <w:tcW w:w="594" w:type="dxa"/>
            <w:vMerge w:val="restart"/>
          </w:tcPr>
          <w:p w:rsidR="004D51B1" w:rsidRPr="002B21FC" w:rsidRDefault="004D51B1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  <w:vMerge w:val="restart"/>
          </w:tcPr>
          <w:p w:rsidR="004D51B1" w:rsidRPr="002B21FC" w:rsidRDefault="004D51B1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предприятия</w:t>
            </w:r>
          </w:p>
        </w:tc>
        <w:tc>
          <w:tcPr>
            <w:tcW w:w="6024" w:type="dxa"/>
            <w:gridSpan w:val="3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 (+прибыль, - убыток)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D51B1" w:rsidRPr="002B21FC" w:rsidTr="00A864C3">
        <w:tc>
          <w:tcPr>
            <w:tcW w:w="594" w:type="dxa"/>
            <w:vMerge/>
          </w:tcPr>
          <w:p w:rsidR="004D51B1" w:rsidRPr="002B21FC" w:rsidRDefault="004D51B1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D51B1" w:rsidRPr="002B21FC" w:rsidRDefault="004D51B1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03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36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D51B1" w:rsidRPr="002B21FC" w:rsidTr="00A864C3">
        <w:tc>
          <w:tcPr>
            <w:tcW w:w="594" w:type="dxa"/>
          </w:tcPr>
          <w:p w:rsidR="004D51B1" w:rsidRPr="002B21FC" w:rsidRDefault="004D51B1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4D51B1" w:rsidRPr="002B21FC" w:rsidRDefault="004D51B1" w:rsidP="002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Губахинские</w:t>
            </w:r>
            <w:proofErr w:type="spellEnd"/>
            <w:r w:rsidRPr="002B21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электросети»</w:t>
            </w:r>
          </w:p>
        </w:tc>
        <w:tc>
          <w:tcPr>
            <w:tcW w:w="1985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+1 476</w:t>
            </w:r>
          </w:p>
        </w:tc>
        <w:tc>
          <w:tcPr>
            <w:tcW w:w="1903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+4 547</w:t>
            </w:r>
          </w:p>
        </w:tc>
        <w:tc>
          <w:tcPr>
            <w:tcW w:w="2136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FC">
              <w:rPr>
                <w:rFonts w:ascii="Times New Roman" w:hAnsi="Times New Roman" w:cs="Times New Roman"/>
                <w:sz w:val="24"/>
                <w:szCs w:val="24"/>
              </w:rPr>
              <w:t>+ 370</w:t>
            </w:r>
          </w:p>
        </w:tc>
      </w:tr>
      <w:tr w:rsidR="004D51B1" w:rsidRPr="002B21FC" w:rsidTr="00A864C3">
        <w:tc>
          <w:tcPr>
            <w:tcW w:w="594" w:type="dxa"/>
          </w:tcPr>
          <w:p w:rsidR="004D51B1" w:rsidRPr="002B21FC" w:rsidRDefault="004D51B1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4D51B1" w:rsidRPr="002B21FC" w:rsidRDefault="004D51B1" w:rsidP="002B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1985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  <w:tc>
          <w:tcPr>
            <w:tcW w:w="1903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2136" w:type="dxa"/>
          </w:tcPr>
          <w:p w:rsidR="004D51B1" w:rsidRPr="002B21FC" w:rsidRDefault="004D51B1" w:rsidP="002B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</w:t>
            </w:r>
          </w:p>
        </w:tc>
      </w:tr>
      <w:tr w:rsidR="004D51B1" w:rsidRPr="002B21FC" w:rsidTr="00A864C3">
        <w:tc>
          <w:tcPr>
            <w:tcW w:w="594" w:type="dxa"/>
          </w:tcPr>
          <w:p w:rsidR="004D51B1" w:rsidRPr="002B21FC" w:rsidRDefault="004D51B1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4D51B1" w:rsidRPr="002B21FC" w:rsidRDefault="004D51B1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«МПО ЖКХ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D51B1" w:rsidRPr="002B21FC" w:rsidRDefault="004D51B1" w:rsidP="004D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- 4 992</w:t>
            </w:r>
          </w:p>
        </w:tc>
        <w:tc>
          <w:tcPr>
            <w:tcW w:w="1903" w:type="dxa"/>
          </w:tcPr>
          <w:p w:rsidR="004D51B1" w:rsidRPr="002B21FC" w:rsidRDefault="004D51B1" w:rsidP="004D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-32 026</w:t>
            </w:r>
          </w:p>
        </w:tc>
        <w:tc>
          <w:tcPr>
            <w:tcW w:w="2136" w:type="dxa"/>
          </w:tcPr>
          <w:p w:rsidR="004D51B1" w:rsidRPr="002B21FC" w:rsidRDefault="004D51B1" w:rsidP="004D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-17 616</w:t>
            </w:r>
          </w:p>
        </w:tc>
      </w:tr>
      <w:tr w:rsidR="004D51B1" w:rsidRPr="002B21FC" w:rsidTr="00A864C3">
        <w:tc>
          <w:tcPr>
            <w:tcW w:w="594" w:type="dxa"/>
          </w:tcPr>
          <w:p w:rsidR="004D51B1" w:rsidRPr="002B21FC" w:rsidRDefault="004D51B1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4D51B1" w:rsidRPr="002B21FC" w:rsidRDefault="004D51B1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D51B1" w:rsidRPr="002B21FC" w:rsidRDefault="004D51B1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4D51B1" w:rsidRPr="002B21FC" w:rsidRDefault="00DE499F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-627</w:t>
            </w:r>
          </w:p>
        </w:tc>
        <w:tc>
          <w:tcPr>
            <w:tcW w:w="2136" w:type="dxa"/>
          </w:tcPr>
          <w:p w:rsidR="004D51B1" w:rsidRPr="002B21FC" w:rsidRDefault="00DE499F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-1 908</w:t>
            </w:r>
          </w:p>
        </w:tc>
      </w:tr>
      <w:tr w:rsidR="004D51B1" w:rsidRPr="002B21FC" w:rsidTr="00A864C3">
        <w:tc>
          <w:tcPr>
            <w:tcW w:w="594" w:type="dxa"/>
          </w:tcPr>
          <w:p w:rsidR="004D51B1" w:rsidRPr="002B21FC" w:rsidRDefault="00DE499F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4D51B1" w:rsidRPr="002B21FC" w:rsidRDefault="00DE499F" w:rsidP="002B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«Тепловые сети Нагорнский»</w:t>
            </w:r>
          </w:p>
        </w:tc>
        <w:tc>
          <w:tcPr>
            <w:tcW w:w="1985" w:type="dxa"/>
          </w:tcPr>
          <w:p w:rsidR="004D51B1" w:rsidRPr="002B21FC" w:rsidRDefault="00DE499F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-325</w:t>
            </w:r>
          </w:p>
        </w:tc>
        <w:tc>
          <w:tcPr>
            <w:tcW w:w="1903" w:type="dxa"/>
          </w:tcPr>
          <w:p w:rsidR="004D51B1" w:rsidRPr="002B21FC" w:rsidRDefault="00DE499F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-773</w:t>
            </w:r>
          </w:p>
        </w:tc>
        <w:tc>
          <w:tcPr>
            <w:tcW w:w="2136" w:type="dxa"/>
          </w:tcPr>
          <w:p w:rsidR="004D51B1" w:rsidRPr="002B21FC" w:rsidRDefault="00DE499F" w:rsidP="00DE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</w:tbl>
    <w:p w:rsidR="00042EE1" w:rsidRDefault="006E345D" w:rsidP="002B2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2EE1">
        <w:rPr>
          <w:rFonts w:ascii="Times New Roman" w:hAnsi="Times New Roman" w:cs="Times New Roman"/>
          <w:sz w:val="28"/>
          <w:szCs w:val="28"/>
        </w:rPr>
        <w:t xml:space="preserve">Комиссией было принято решение провести внеплановое заседание балансовой комиссии по результатам деятельности </w:t>
      </w:r>
      <w:r w:rsidR="00042E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2EE1">
        <w:rPr>
          <w:rFonts w:ascii="Times New Roman" w:hAnsi="Times New Roman" w:cs="Times New Roman"/>
          <w:sz w:val="28"/>
          <w:szCs w:val="28"/>
        </w:rPr>
        <w:t xml:space="preserve"> полугодия 2015 года</w:t>
      </w:r>
      <w:r w:rsidR="009907C9" w:rsidRPr="009907C9">
        <w:rPr>
          <w:rFonts w:ascii="Times New Roman" w:hAnsi="Times New Roman" w:cs="Times New Roman"/>
          <w:sz w:val="28"/>
          <w:szCs w:val="28"/>
        </w:rPr>
        <w:t>:</w:t>
      </w:r>
      <w:r w:rsidR="00042EE1">
        <w:rPr>
          <w:rFonts w:ascii="Times New Roman" w:hAnsi="Times New Roman" w:cs="Times New Roman"/>
          <w:sz w:val="28"/>
          <w:szCs w:val="28"/>
        </w:rPr>
        <w:t xml:space="preserve"> </w:t>
      </w:r>
      <w:r w:rsidR="00042EE1">
        <w:rPr>
          <w:rFonts w:ascii="Times New Roman" w:hAnsi="Times New Roman" w:cs="Times New Roman"/>
          <w:sz w:val="28"/>
          <w:szCs w:val="28"/>
        </w:rPr>
        <w:lastRenderedPageBreak/>
        <w:t>МУП «Тепловые сети Нагорнский», МУП «ЖКХ МПО Северный», МУП «</w:t>
      </w:r>
      <w:proofErr w:type="spellStart"/>
      <w:r w:rsidR="00042EE1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="00042EE1">
        <w:rPr>
          <w:rFonts w:ascii="Times New Roman" w:hAnsi="Times New Roman" w:cs="Times New Roman"/>
          <w:sz w:val="28"/>
          <w:szCs w:val="28"/>
        </w:rPr>
        <w:t>», МУП «Уральский шахтер», МУП «Оптика».</w:t>
      </w:r>
    </w:p>
    <w:p w:rsidR="006E345D" w:rsidRPr="00042EE1" w:rsidRDefault="006E345D" w:rsidP="002B2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итогам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2014 год подлежит зачислению в бюджет городского округа 110,0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состоянию на 01.06.2015г. перечислено 79,5 тыс. руб. от МУП ГГЭС, МУП Водоканал, МУП Редакция газеты Уральский шахтер, до 01.07.2015г. установлен срок для МУП Городская баня.</w:t>
      </w:r>
    </w:p>
    <w:p w:rsidR="00A864C3" w:rsidRPr="00027BA5" w:rsidRDefault="006E345D" w:rsidP="009D2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64C3" w:rsidRPr="00027BA5">
        <w:rPr>
          <w:rFonts w:ascii="Times New Roman" w:hAnsi="Times New Roman" w:cs="Times New Roman"/>
          <w:sz w:val="28"/>
          <w:szCs w:val="28"/>
        </w:rPr>
        <w:t>Итоги финансово – хозяйственной деятельности муниципальных учреждений за 2014 год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34"/>
        <w:gridCol w:w="3436"/>
        <w:gridCol w:w="2126"/>
        <w:gridCol w:w="2410"/>
        <w:gridCol w:w="1843"/>
      </w:tblGrid>
      <w:tr w:rsidR="00A864C3" w:rsidRPr="001B10D6" w:rsidTr="002B53D7">
        <w:tc>
          <w:tcPr>
            <w:tcW w:w="534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B10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10D6">
              <w:rPr>
                <w:rFonts w:ascii="Times New Roman" w:hAnsi="Times New Roman" w:cs="Times New Roman"/>
              </w:rPr>
              <w:t>/</w:t>
            </w:r>
            <w:proofErr w:type="spellStart"/>
            <w:r w:rsidRPr="001B10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ание муниципального учреждения</w:t>
            </w:r>
          </w:p>
        </w:tc>
        <w:tc>
          <w:tcPr>
            <w:tcW w:w="2126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>Рассмотрение и утверждение бухгалтерской отчетности за 2014 год</w:t>
            </w:r>
          </w:p>
        </w:tc>
        <w:tc>
          <w:tcPr>
            <w:tcW w:w="2410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 xml:space="preserve">Оценка финансового состояния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 w:rsidRPr="001B10D6">
              <w:rPr>
                <w:rFonts w:ascii="Times New Roman" w:hAnsi="Times New Roman" w:cs="Times New Roman"/>
              </w:rPr>
              <w:t>Оценка эффективности использования муниципального имущества</w:t>
            </w:r>
          </w:p>
        </w:tc>
      </w:tr>
      <w:tr w:rsidR="00A864C3" w:rsidRPr="001B10D6" w:rsidTr="002B53D7">
        <w:tc>
          <w:tcPr>
            <w:tcW w:w="534" w:type="dxa"/>
          </w:tcPr>
          <w:p w:rsidR="00A864C3" w:rsidRPr="001B10D6" w:rsidRDefault="00A864C3" w:rsidP="002B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A864C3" w:rsidRPr="001B10D6" w:rsidRDefault="00A864C3" w:rsidP="002B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«Управление хозяйством сельского поселения»</w:t>
            </w:r>
          </w:p>
        </w:tc>
        <w:tc>
          <w:tcPr>
            <w:tcW w:w="2126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410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843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A864C3" w:rsidRPr="001B10D6" w:rsidTr="002B53D7">
        <w:tc>
          <w:tcPr>
            <w:tcW w:w="534" w:type="dxa"/>
          </w:tcPr>
          <w:p w:rsidR="00A864C3" w:rsidRPr="001B10D6" w:rsidRDefault="00A864C3" w:rsidP="002B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A864C3" w:rsidRPr="001B10D6" w:rsidRDefault="00A864C3" w:rsidP="002B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«Управление городского хозяйства»</w:t>
            </w:r>
          </w:p>
        </w:tc>
        <w:tc>
          <w:tcPr>
            <w:tcW w:w="2126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410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удовлетворительно</w:t>
            </w:r>
          </w:p>
        </w:tc>
        <w:tc>
          <w:tcPr>
            <w:tcW w:w="1843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эффективно</w:t>
            </w:r>
          </w:p>
        </w:tc>
      </w:tr>
      <w:tr w:rsidR="00A864C3" w:rsidRPr="001B10D6" w:rsidTr="002B53D7">
        <w:tc>
          <w:tcPr>
            <w:tcW w:w="534" w:type="dxa"/>
          </w:tcPr>
          <w:p w:rsidR="00A864C3" w:rsidRPr="001B10D6" w:rsidRDefault="00A864C3" w:rsidP="002B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A864C3" w:rsidRPr="001B10D6" w:rsidRDefault="00A864C3" w:rsidP="002B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«Комбинат благоустройства»</w:t>
            </w:r>
          </w:p>
        </w:tc>
        <w:tc>
          <w:tcPr>
            <w:tcW w:w="2126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</w:p>
        </w:tc>
        <w:tc>
          <w:tcPr>
            <w:tcW w:w="2410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843" w:type="dxa"/>
          </w:tcPr>
          <w:p w:rsidR="00A864C3" w:rsidRPr="001B10D6" w:rsidRDefault="00A864C3" w:rsidP="002B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042EE1" w:rsidRDefault="00042EE1" w:rsidP="003D631F">
      <w:pPr>
        <w:rPr>
          <w:rFonts w:ascii="Times New Roman" w:hAnsi="Times New Roman" w:cs="Times New Roman"/>
          <w:sz w:val="28"/>
          <w:szCs w:val="28"/>
        </w:rPr>
      </w:pPr>
    </w:p>
    <w:p w:rsidR="00042EE1" w:rsidRPr="00027BA5" w:rsidRDefault="006E345D" w:rsidP="009D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2EE1">
        <w:rPr>
          <w:rFonts w:ascii="Times New Roman" w:hAnsi="Times New Roman" w:cs="Times New Roman"/>
          <w:sz w:val="28"/>
          <w:szCs w:val="28"/>
        </w:rPr>
        <w:t xml:space="preserve">Комиссией было принято решение провести внеплановое заседание балансовой комиссии по результатам деятельности </w:t>
      </w:r>
      <w:r w:rsidR="00042E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2EE1">
        <w:rPr>
          <w:rFonts w:ascii="Times New Roman" w:hAnsi="Times New Roman" w:cs="Times New Roman"/>
          <w:sz w:val="28"/>
          <w:szCs w:val="28"/>
        </w:rPr>
        <w:t xml:space="preserve"> полугодия 2015 года МБУ «УГХ»</w:t>
      </w:r>
      <w:r w:rsidR="009907C9">
        <w:rPr>
          <w:rFonts w:ascii="Times New Roman" w:hAnsi="Times New Roman" w:cs="Times New Roman"/>
          <w:sz w:val="28"/>
          <w:szCs w:val="28"/>
        </w:rPr>
        <w:t>.</w:t>
      </w:r>
    </w:p>
    <w:p w:rsidR="000B3D96" w:rsidRDefault="006E345D" w:rsidP="009D2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7678">
        <w:rPr>
          <w:rFonts w:ascii="Times New Roman" w:hAnsi="Times New Roman" w:cs="Times New Roman"/>
          <w:sz w:val="28"/>
          <w:szCs w:val="28"/>
        </w:rPr>
        <w:t>В связи с проведением</w:t>
      </w:r>
      <w:r w:rsidR="00A864C3">
        <w:rPr>
          <w:rFonts w:ascii="Times New Roman" w:hAnsi="Times New Roman" w:cs="Times New Roman"/>
          <w:sz w:val="28"/>
          <w:szCs w:val="28"/>
        </w:rPr>
        <w:t xml:space="preserve"> процедуры ликвидации </w:t>
      </w:r>
      <w:r w:rsidR="00373BF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864C3">
        <w:rPr>
          <w:rFonts w:ascii="Times New Roman" w:hAnsi="Times New Roman" w:cs="Times New Roman"/>
          <w:sz w:val="28"/>
          <w:szCs w:val="28"/>
        </w:rPr>
        <w:t>МУП ЖКХ пос.</w:t>
      </w:r>
      <w:r w:rsidR="00E058A1">
        <w:rPr>
          <w:rFonts w:ascii="Times New Roman" w:hAnsi="Times New Roman" w:cs="Times New Roman"/>
          <w:sz w:val="28"/>
          <w:szCs w:val="28"/>
        </w:rPr>
        <w:t xml:space="preserve"> </w:t>
      </w:r>
      <w:r w:rsidR="00A864C3">
        <w:rPr>
          <w:rFonts w:ascii="Times New Roman" w:hAnsi="Times New Roman" w:cs="Times New Roman"/>
          <w:sz w:val="28"/>
          <w:szCs w:val="28"/>
        </w:rPr>
        <w:t xml:space="preserve">Углеуральского, МУП ЖКХ п.Широковского, МУП «Горнолыжный центр </w:t>
      </w:r>
      <w:proofErr w:type="spellStart"/>
      <w:r w:rsidR="00A864C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A864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итоги</w:t>
      </w:r>
      <w:r w:rsidR="00A864C3">
        <w:rPr>
          <w:rFonts w:ascii="Times New Roman" w:hAnsi="Times New Roman" w:cs="Times New Roman"/>
          <w:sz w:val="28"/>
          <w:szCs w:val="28"/>
        </w:rPr>
        <w:t xml:space="preserve"> финансово – хозяйственн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864C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64C3">
        <w:rPr>
          <w:rFonts w:ascii="Times New Roman" w:hAnsi="Times New Roman" w:cs="Times New Roman"/>
          <w:sz w:val="28"/>
          <w:szCs w:val="28"/>
        </w:rPr>
        <w:t xml:space="preserve"> данных предприятий не рассматривалась. Не </w:t>
      </w:r>
      <w:proofErr w:type="gramStart"/>
      <w:r w:rsidR="00A864C3">
        <w:rPr>
          <w:rFonts w:ascii="Times New Roman" w:hAnsi="Times New Roman" w:cs="Times New Roman"/>
          <w:sz w:val="28"/>
          <w:szCs w:val="28"/>
        </w:rPr>
        <w:t>были представлены документы и не рассматривалось</w:t>
      </w:r>
      <w:proofErr w:type="gramEnd"/>
      <w:r w:rsidR="00A864C3">
        <w:rPr>
          <w:rFonts w:ascii="Times New Roman" w:hAnsi="Times New Roman" w:cs="Times New Roman"/>
          <w:sz w:val="28"/>
          <w:szCs w:val="28"/>
        </w:rPr>
        <w:t xml:space="preserve"> на заседании балансовой комиссии МУП «</w:t>
      </w:r>
      <w:proofErr w:type="spellStart"/>
      <w:r w:rsidR="00A864C3">
        <w:rPr>
          <w:rFonts w:ascii="Times New Roman" w:hAnsi="Times New Roman" w:cs="Times New Roman"/>
          <w:sz w:val="28"/>
          <w:szCs w:val="28"/>
        </w:rPr>
        <w:t>Губахинское</w:t>
      </w:r>
      <w:proofErr w:type="spellEnd"/>
      <w:r w:rsidR="00A864C3">
        <w:rPr>
          <w:rFonts w:ascii="Times New Roman" w:hAnsi="Times New Roman" w:cs="Times New Roman"/>
          <w:sz w:val="28"/>
          <w:szCs w:val="28"/>
        </w:rPr>
        <w:t xml:space="preserve"> автотранспортное предприятие».</w:t>
      </w:r>
    </w:p>
    <w:p w:rsidR="007C40EF" w:rsidRDefault="007C40EF" w:rsidP="009D2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заседании балансовой комиссии было принято решение направить прошение в Думу</w:t>
      </w:r>
      <w:r w:rsidR="00AA4B31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AA4B3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AA4B31">
        <w:rPr>
          <w:rFonts w:ascii="Times New Roman" w:hAnsi="Times New Roman" w:cs="Times New Roman"/>
          <w:sz w:val="28"/>
          <w:szCs w:val="28"/>
        </w:rPr>
        <w:t>» о выделении средств на  погашение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МБУ ДЭЗ</w:t>
      </w:r>
      <w:r w:rsidR="006133D0">
        <w:rPr>
          <w:rFonts w:ascii="Times New Roman" w:hAnsi="Times New Roman" w:cs="Times New Roman"/>
          <w:sz w:val="28"/>
          <w:szCs w:val="28"/>
        </w:rPr>
        <w:t>, для дальнейшей ликвидации учреждения.</w:t>
      </w:r>
    </w:p>
    <w:p w:rsidR="006E345D" w:rsidRDefault="006E345D" w:rsidP="00A864C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45D" w:rsidRDefault="006E345D" w:rsidP="00A864C3">
      <w:pPr>
        <w:ind w:left="-851" w:firstLine="851"/>
        <w:jc w:val="both"/>
      </w:pPr>
    </w:p>
    <w:sectPr w:rsidR="006E345D" w:rsidSect="00A86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21FC"/>
    <w:rsid w:val="00001F1A"/>
    <w:rsid w:val="00042EE1"/>
    <w:rsid w:val="000A432E"/>
    <w:rsid w:val="000B3D96"/>
    <w:rsid w:val="00196D06"/>
    <w:rsid w:val="00210117"/>
    <w:rsid w:val="002B21FC"/>
    <w:rsid w:val="002B53D7"/>
    <w:rsid w:val="00373BF4"/>
    <w:rsid w:val="003D631F"/>
    <w:rsid w:val="004337BE"/>
    <w:rsid w:val="004D51B1"/>
    <w:rsid w:val="005D1222"/>
    <w:rsid w:val="00607678"/>
    <w:rsid w:val="006133D0"/>
    <w:rsid w:val="0062449A"/>
    <w:rsid w:val="006E345D"/>
    <w:rsid w:val="007C40EF"/>
    <w:rsid w:val="007D6140"/>
    <w:rsid w:val="009735A2"/>
    <w:rsid w:val="009907C9"/>
    <w:rsid w:val="009D2C61"/>
    <w:rsid w:val="00A864C3"/>
    <w:rsid w:val="00AA4B31"/>
    <w:rsid w:val="00BC234B"/>
    <w:rsid w:val="00BC3E28"/>
    <w:rsid w:val="00CE0639"/>
    <w:rsid w:val="00D56910"/>
    <w:rsid w:val="00D745D1"/>
    <w:rsid w:val="00DB6380"/>
    <w:rsid w:val="00DE499F"/>
    <w:rsid w:val="00E058A1"/>
    <w:rsid w:val="00E52043"/>
    <w:rsid w:val="00E73526"/>
    <w:rsid w:val="00F6506A"/>
    <w:rsid w:val="00F65B4B"/>
    <w:rsid w:val="00FC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2015-07-10T06:42:00Z</cp:lastPrinted>
  <dcterms:created xsi:type="dcterms:W3CDTF">2015-05-21T08:15:00Z</dcterms:created>
  <dcterms:modified xsi:type="dcterms:W3CDTF">2016-01-18T11:19:00Z</dcterms:modified>
</cp:coreProperties>
</file>